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2A4D" w14:textId="77777777" w:rsidR="00E72B0F" w:rsidRDefault="00E72B0F" w:rsidP="00E72B0F">
      <w:pPr>
        <w:pStyle w:val="Kop1zondernr"/>
      </w:pPr>
      <w:bookmarkStart w:id="0" w:name="_Toc44410674"/>
      <w:r>
        <w:t>Bijlage 1 – Overzicht van COVID-19 risicofactoren</w:t>
      </w:r>
      <w:bookmarkEnd w:id="0"/>
    </w:p>
    <w:p w14:paraId="3E63A5AA" w14:textId="77777777" w:rsidR="00E72B0F" w:rsidRPr="001E59B7" w:rsidRDefault="00E72B0F" w:rsidP="00E72B0F">
      <w:pPr>
        <w:spacing w:after="200" w:line="276" w:lineRule="auto"/>
        <w:rPr>
          <w:rFonts w:cs="Arial"/>
          <w:szCs w:val="18"/>
        </w:rPr>
      </w:pPr>
      <w:r w:rsidRPr="001E59B7">
        <w:rPr>
          <w:rFonts w:ascii="Calibri Light" w:hAnsi="Calibri Light" w:cs="Calibri Light"/>
          <w:b/>
          <w:bCs/>
          <w:color w:val="365F91" w:themeColor="accent1" w:themeShade="BF"/>
          <w:sz w:val="22"/>
        </w:rPr>
        <w:t>Inleiding</w:t>
      </w:r>
      <w:r>
        <w:rPr>
          <w:rFonts w:ascii="Calibri Light" w:hAnsi="Calibri Light" w:cs="Calibri Light"/>
          <w:b/>
          <w:bCs/>
          <w:color w:val="365F91" w:themeColor="accent1" w:themeShade="BF"/>
          <w:sz w:val="22"/>
        </w:rPr>
        <w:br/>
      </w:r>
      <w:r>
        <w:rPr>
          <w:rFonts w:cs="Arial"/>
          <w:szCs w:val="18"/>
        </w:rPr>
        <w:t>Onderstaand overzicht van COVID-19 risicofactoren kan gebruikt worden als informatiebron om een verdiepende risicoanalyse uit te voeren.</w:t>
      </w:r>
    </w:p>
    <w:p w14:paraId="0FD72E7F" w14:textId="77777777" w:rsidR="00E72B0F" w:rsidRPr="001E59B7" w:rsidRDefault="00E72B0F" w:rsidP="00E72B0F">
      <w:pPr>
        <w:spacing w:after="200" w:line="276" w:lineRule="auto"/>
        <w:rPr>
          <w:rFonts w:ascii="Calibri Light" w:hAnsi="Calibri Light" w:cs="Calibri Light"/>
          <w:b/>
          <w:bCs/>
          <w:sz w:val="22"/>
        </w:rPr>
      </w:pPr>
      <w:r w:rsidRPr="001E59B7">
        <w:rPr>
          <w:rFonts w:ascii="Calibri Light" w:hAnsi="Calibri Light" w:cs="Calibri Light"/>
          <w:b/>
          <w:bCs/>
          <w:color w:val="365F91" w:themeColor="accent1" w:themeShade="BF"/>
          <w:sz w:val="22"/>
        </w:rPr>
        <w:t>Publieksprofiel</w:t>
      </w:r>
    </w:p>
    <w:tbl>
      <w:tblPr>
        <w:tblStyle w:val="Rastertabel5donker-Accent21"/>
        <w:tblW w:w="9628" w:type="dxa"/>
        <w:tblLayout w:type="fixed"/>
        <w:tblLook w:val="04A0" w:firstRow="1" w:lastRow="0" w:firstColumn="1" w:lastColumn="0" w:noHBand="0" w:noVBand="1"/>
      </w:tblPr>
      <w:tblGrid>
        <w:gridCol w:w="1980"/>
        <w:gridCol w:w="2638"/>
        <w:gridCol w:w="2505"/>
        <w:gridCol w:w="2505"/>
      </w:tblGrid>
      <w:tr w:rsidR="00E72B0F" w14:paraId="292DB940" w14:textId="77777777" w:rsidTr="00CE4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4D1F7968" w14:textId="77777777" w:rsidR="00E72B0F" w:rsidRPr="00DC2DFF" w:rsidRDefault="00E72B0F" w:rsidP="00CE40F7">
            <w:pPr>
              <w:rPr>
                <w:sz w:val="20"/>
                <w:szCs w:val="20"/>
              </w:rPr>
            </w:pPr>
            <w:r w:rsidRPr="00DC2DFF">
              <w:rPr>
                <w:sz w:val="20"/>
                <w:szCs w:val="20"/>
              </w:rPr>
              <w:t xml:space="preserve">Risicofactor </w:t>
            </w:r>
          </w:p>
        </w:tc>
        <w:tc>
          <w:tcPr>
            <w:tcW w:w="2638" w:type="dxa"/>
            <w:shd w:val="clear" w:color="auto" w:fill="F79646" w:themeFill="accent6"/>
          </w:tcPr>
          <w:p w14:paraId="4B815842" w14:textId="77777777" w:rsidR="00E72B0F" w:rsidRPr="00DC2DF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DC2DFF">
              <w:rPr>
                <w:sz w:val="20"/>
                <w:szCs w:val="20"/>
              </w:rPr>
              <w:t>Duiding</w:t>
            </w:r>
          </w:p>
        </w:tc>
        <w:tc>
          <w:tcPr>
            <w:tcW w:w="2505" w:type="dxa"/>
            <w:shd w:val="clear" w:color="auto" w:fill="F79646" w:themeFill="accent6"/>
          </w:tcPr>
          <w:p w14:paraId="3C23AEC6" w14:textId="77777777" w:rsidR="00E72B0F" w:rsidRPr="00DC2DF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DC2DFF">
              <w:rPr>
                <w:sz w:val="20"/>
                <w:szCs w:val="20"/>
              </w:rPr>
              <w:t>Onderbouwing</w:t>
            </w:r>
          </w:p>
        </w:tc>
        <w:tc>
          <w:tcPr>
            <w:tcW w:w="2505" w:type="dxa"/>
            <w:shd w:val="clear" w:color="auto" w:fill="F79646" w:themeFill="accent6"/>
          </w:tcPr>
          <w:p w14:paraId="3FF4B0C1" w14:textId="77777777" w:rsidR="00E72B0F" w:rsidRPr="00DC2DF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Toelichting organisatie</w:t>
            </w:r>
          </w:p>
        </w:tc>
      </w:tr>
      <w:tr w:rsidR="00E72B0F" w14:paraId="48B198D3" w14:textId="77777777" w:rsidTr="00CE4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5A289D9F" w14:textId="77777777" w:rsidR="00E72B0F" w:rsidRPr="009E2AB2" w:rsidRDefault="00E72B0F" w:rsidP="00CE40F7">
            <w:pPr>
              <w:rPr>
                <w:rFonts w:cs="Arial"/>
                <w:b w:val="0"/>
                <w:bCs w:val="0"/>
                <w:sz w:val="16"/>
                <w:szCs w:val="16"/>
              </w:rPr>
            </w:pPr>
            <w:r w:rsidRPr="009E2AB2">
              <w:rPr>
                <w:rFonts w:cs="Arial"/>
                <w:b w:val="0"/>
                <w:bCs w:val="0"/>
                <w:sz w:val="16"/>
                <w:szCs w:val="16"/>
              </w:rPr>
              <w:t>Risicovolle doelgroep</w:t>
            </w:r>
          </w:p>
        </w:tc>
        <w:tc>
          <w:tcPr>
            <w:tcW w:w="2638" w:type="dxa"/>
            <w:shd w:val="clear" w:color="auto" w:fill="FABF8F" w:themeFill="accent6" w:themeFillTint="99"/>
          </w:tcPr>
          <w:p w14:paraId="6333C0A4"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u w:val="single"/>
              </w:rPr>
              <w:t>Risicogroepen (definitie RIVM)</w:t>
            </w:r>
            <w:r w:rsidRPr="009E2AB2">
              <w:rPr>
                <w:rFonts w:cs="Arial"/>
                <w:sz w:val="16"/>
                <w:szCs w:val="16"/>
              </w:rPr>
              <w:t>:</w:t>
            </w:r>
          </w:p>
          <w:p w14:paraId="53723249" w14:textId="77777777" w:rsidR="00E72B0F" w:rsidRPr="009E2AB2" w:rsidRDefault="00E72B0F" w:rsidP="00E72B0F">
            <w:pPr>
              <w:pStyle w:val="Lijstalinea"/>
              <w:numPr>
                <w:ilvl w:val="0"/>
                <w:numId w:val="1"/>
              </w:numPr>
              <w:spacing w:before="0" w:beforeAutospacing="0" w:after="0" w:afterAutospacing="0" w:line="240" w:lineRule="auto"/>
              <w:ind w:left="318"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Ouderen (70+)</w:t>
            </w:r>
          </w:p>
          <w:p w14:paraId="5F000B23" w14:textId="77777777" w:rsidR="00E72B0F" w:rsidRPr="009E2AB2" w:rsidRDefault="00E72B0F" w:rsidP="00E72B0F">
            <w:pPr>
              <w:pStyle w:val="Lijstalinea"/>
              <w:numPr>
                <w:ilvl w:val="0"/>
                <w:numId w:val="1"/>
              </w:numPr>
              <w:spacing w:before="0" w:beforeAutospacing="0" w:after="0" w:afterAutospacing="0" w:line="240" w:lineRule="auto"/>
              <w:ind w:left="318"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Volwassenen (ouder dan 18 jaar) met onderliggende ziekten</w:t>
            </w:r>
          </w:p>
          <w:p w14:paraId="1FB817C8"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u w:val="single"/>
              </w:rPr>
            </w:pPr>
          </w:p>
          <w:p w14:paraId="747513DE"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u w:val="single"/>
              </w:rPr>
              <w:t>Maar ook</w:t>
            </w:r>
            <w:r w:rsidRPr="009E2AB2">
              <w:rPr>
                <w:rFonts w:cs="Arial"/>
                <w:sz w:val="16"/>
                <w:szCs w:val="16"/>
              </w:rPr>
              <w:t>:</w:t>
            </w:r>
          </w:p>
          <w:p w14:paraId="4A881F0A" w14:textId="77777777" w:rsidR="00E72B0F" w:rsidRPr="009E2AB2" w:rsidRDefault="00E72B0F" w:rsidP="009E2AB2">
            <w:pPr>
              <w:pStyle w:val="Lijstalinea"/>
              <w:numPr>
                <w:ilvl w:val="0"/>
                <w:numId w:val="2"/>
              </w:numPr>
              <w:spacing w:before="0" w:beforeAutospacing="0" w:after="0" w:afterAutospacing="0" w:line="240" w:lineRule="auto"/>
              <w:ind w:left="318"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Doelgroep waarbij er kans is op niet in acht neming van basisregels.</w:t>
            </w:r>
          </w:p>
          <w:p w14:paraId="631B91FB" w14:textId="77777777" w:rsidR="00E72B0F" w:rsidRPr="009E2AB2" w:rsidRDefault="00E72B0F" w:rsidP="00CE40F7">
            <w:pPr>
              <w:pStyle w:val="Lijstalinea"/>
              <w:ind w:left="318"/>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Kortom (naleef)gedrag. </w:t>
            </w:r>
          </w:p>
        </w:tc>
        <w:tc>
          <w:tcPr>
            <w:tcW w:w="2505" w:type="dxa"/>
            <w:shd w:val="clear" w:color="auto" w:fill="FABF8F" w:themeFill="accent6" w:themeFillTint="99"/>
          </w:tcPr>
          <w:p w14:paraId="33BC31BC"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De genoemde doelgroepen hebben danwel bewezen kans op ernstig(er) verloop van COVID-19, de zogenaamde risicogroepen. </w:t>
            </w:r>
          </w:p>
          <w:p w14:paraId="55CCD42F"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2DF4F594"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Bij de andere groep is de ervaring dat er verhoogde kans is op het niet naleven van basisregels en er bijvoorbeeld fysiek contact ontstaat.</w:t>
            </w:r>
          </w:p>
        </w:tc>
        <w:tc>
          <w:tcPr>
            <w:tcW w:w="2505" w:type="dxa"/>
            <w:shd w:val="clear" w:color="auto" w:fill="FABF8F" w:themeFill="accent6" w:themeFillTint="99"/>
          </w:tcPr>
          <w:p w14:paraId="116AC91A" w14:textId="57BF010D" w:rsidR="00E72B0F" w:rsidRPr="009E2AB2" w:rsidRDefault="00E72B0F" w:rsidP="009E2AB2">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14:paraId="21B475A8" w14:textId="77777777" w:rsidTr="00CE40F7">
        <w:trPr>
          <w:trHeight w:val="1181"/>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6040C133" w14:textId="77777777" w:rsidR="00E72B0F" w:rsidRPr="009E2AB2" w:rsidRDefault="00E72B0F" w:rsidP="00CE40F7">
            <w:pPr>
              <w:rPr>
                <w:rFonts w:cs="Arial"/>
                <w:sz w:val="16"/>
                <w:szCs w:val="16"/>
              </w:rPr>
            </w:pPr>
            <w:r w:rsidRPr="009E2AB2">
              <w:rPr>
                <w:rFonts w:cs="Arial"/>
                <w:b w:val="0"/>
                <w:bCs w:val="0"/>
                <w:sz w:val="16"/>
                <w:szCs w:val="16"/>
              </w:rPr>
              <w:t>Bezoekersdichtheid &amp; Inrichting locatie</w:t>
            </w:r>
          </w:p>
          <w:p w14:paraId="2F40A69B" w14:textId="77777777" w:rsidR="00E72B0F" w:rsidRPr="009E2AB2" w:rsidRDefault="00E72B0F" w:rsidP="00CE40F7">
            <w:pPr>
              <w:rPr>
                <w:rFonts w:cs="Arial"/>
                <w:b w:val="0"/>
                <w:bCs w:val="0"/>
                <w:sz w:val="16"/>
                <w:szCs w:val="16"/>
              </w:rPr>
            </w:pPr>
          </w:p>
        </w:tc>
        <w:tc>
          <w:tcPr>
            <w:tcW w:w="2638" w:type="dxa"/>
            <w:shd w:val="clear" w:color="auto" w:fill="FBD4B4" w:themeFill="accent6" w:themeFillTint="66"/>
          </w:tcPr>
          <w:p w14:paraId="5E44636B"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Maximumaantal gelijktijdige bezoekers per vierkante meter (vrije) oppervlakte van het evenement.</w:t>
            </w:r>
          </w:p>
          <w:p w14:paraId="00A6FB48"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2102B2DA"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7F9429C9"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7214127E"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071667C9" w14:textId="77777777" w:rsidR="00E72B0F" w:rsidRPr="009E2AB2" w:rsidRDefault="009E2AB2"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br/>
            </w:r>
            <w:r>
              <w:rPr>
                <w:rFonts w:cs="Arial"/>
                <w:sz w:val="16"/>
                <w:szCs w:val="16"/>
              </w:rPr>
              <w:br/>
            </w:r>
            <w:r>
              <w:rPr>
                <w:rFonts w:cs="Arial"/>
                <w:sz w:val="16"/>
                <w:szCs w:val="16"/>
              </w:rPr>
              <w:br/>
            </w:r>
            <w:r>
              <w:rPr>
                <w:rFonts w:cs="Arial"/>
                <w:sz w:val="16"/>
                <w:szCs w:val="16"/>
              </w:rPr>
              <w:br/>
            </w:r>
            <w:r>
              <w:rPr>
                <w:rFonts w:cs="Arial"/>
                <w:sz w:val="16"/>
                <w:szCs w:val="16"/>
              </w:rPr>
              <w:br/>
            </w:r>
            <w:r>
              <w:rPr>
                <w:rFonts w:cs="Arial"/>
                <w:sz w:val="16"/>
                <w:szCs w:val="16"/>
              </w:rPr>
              <w:br/>
            </w:r>
            <w:r>
              <w:rPr>
                <w:rFonts w:cs="Arial"/>
                <w:sz w:val="16"/>
                <w:szCs w:val="16"/>
              </w:rPr>
              <w:br/>
            </w:r>
          </w:p>
          <w:p w14:paraId="01982ED0"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46489C28"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6A9B8605"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Hoe is de locatie ingericht?</w:t>
            </w:r>
          </w:p>
          <w:p w14:paraId="6B714ACD"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744F8445"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29923731"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05" w:type="dxa"/>
            <w:shd w:val="clear" w:color="auto" w:fill="FBD4B4" w:themeFill="accent6" w:themeFillTint="66"/>
          </w:tcPr>
          <w:p w14:paraId="695C0A78"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Het risico van verspreiding van ziekteverwekkers via de lucht wordt groter naarmate de dichtheid van bezoekers groter wordt. Afstand tussen personen reduceert het verspreidingsrisico.</w:t>
            </w:r>
          </w:p>
          <w:p w14:paraId="0B0A9C3A"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31180F80"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Landelijke basisregel is dat volwassenen altijd 1,5 meter onderlinge afstand van elkaar moeten houden.</w:t>
            </w:r>
          </w:p>
          <w:p w14:paraId="03175E59"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Kinderen tot 12 jaar hoeven geen 1,5 meter afstand te houden. Jongeren tot 18 jaar hoeven alleen tot volwassenen 1,5 meter afstand te houden.</w:t>
            </w:r>
          </w:p>
          <w:p w14:paraId="328B1C54"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1DCA8B80"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De inrichting van de locatie speelt een rol in de kans op verspreiding van het virus:</w:t>
            </w:r>
          </w:p>
          <w:p w14:paraId="7E5674D4" w14:textId="77777777" w:rsidR="00E72B0F" w:rsidRPr="009E2AB2" w:rsidRDefault="00E72B0F" w:rsidP="00E72B0F">
            <w:pPr>
              <w:pStyle w:val="Lijstalinea"/>
              <w:numPr>
                <w:ilvl w:val="0"/>
                <w:numId w:val="6"/>
              </w:numPr>
              <w:spacing w:before="0" w:beforeAutospacing="0" w:after="0" w:afterAutospacing="0" w:line="240" w:lineRule="auto"/>
              <w:ind w:left="296" w:hanging="296"/>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Aangenomen wordt dat in de open lucht het verspreidingsrisico lager is dan binnen.</w:t>
            </w:r>
          </w:p>
          <w:p w14:paraId="55CCE638" w14:textId="77777777" w:rsidR="00E72B0F" w:rsidRPr="009E2AB2" w:rsidRDefault="00E72B0F" w:rsidP="00E72B0F">
            <w:pPr>
              <w:pStyle w:val="Lijstalinea"/>
              <w:numPr>
                <w:ilvl w:val="0"/>
                <w:numId w:val="6"/>
              </w:numPr>
              <w:spacing w:before="0" w:beforeAutospacing="0" w:after="0" w:afterAutospacing="0" w:line="240" w:lineRule="auto"/>
              <w:ind w:left="296" w:hanging="296"/>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Hoe minder contactpunten (deurknoppen, barren, stoelen enz.) hoe beter.</w:t>
            </w:r>
          </w:p>
          <w:p w14:paraId="30A8E044" w14:textId="77777777" w:rsidR="00E72B0F" w:rsidRPr="009E2AB2" w:rsidRDefault="00E72B0F" w:rsidP="00E72B0F">
            <w:pPr>
              <w:pStyle w:val="Lijstalinea"/>
              <w:numPr>
                <w:ilvl w:val="0"/>
                <w:numId w:val="6"/>
              </w:numPr>
              <w:spacing w:before="0" w:beforeAutospacing="0" w:after="0" w:afterAutospacing="0" w:line="240" w:lineRule="auto"/>
              <w:ind w:left="296" w:hanging="296"/>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Hoe meer spreiding publiek hoe meer onderlinge afstand mogelijk (ook m.b.t. barren en wc’s.</w:t>
            </w:r>
          </w:p>
          <w:p w14:paraId="59B05616" w14:textId="77777777" w:rsidR="00E72B0F" w:rsidRPr="009E2AB2" w:rsidRDefault="00E72B0F" w:rsidP="00E72B0F">
            <w:pPr>
              <w:pStyle w:val="Lijstalinea"/>
              <w:numPr>
                <w:ilvl w:val="0"/>
                <w:numId w:val="6"/>
              </w:numPr>
              <w:spacing w:before="0" w:beforeAutospacing="0" w:after="0" w:afterAutospacing="0" w:line="240" w:lineRule="auto"/>
              <w:ind w:left="296" w:hanging="296"/>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Een evenementlocatie heeft de voorkeur boven meerdere evenementenlocaties.</w:t>
            </w:r>
          </w:p>
        </w:tc>
        <w:tc>
          <w:tcPr>
            <w:tcW w:w="2505" w:type="dxa"/>
            <w:shd w:val="clear" w:color="auto" w:fill="FBD4B4" w:themeFill="accent6" w:themeFillTint="66"/>
          </w:tcPr>
          <w:p w14:paraId="7459523A"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14:paraId="1CDA22DB" w14:textId="77777777" w:rsidTr="006E26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231267CE" w14:textId="77777777" w:rsidR="00E72B0F" w:rsidRPr="009E2AB2" w:rsidRDefault="00E72B0F" w:rsidP="00CE40F7">
            <w:pPr>
              <w:rPr>
                <w:rFonts w:cs="Arial"/>
                <w:sz w:val="16"/>
                <w:szCs w:val="16"/>
              </w:rPr>
            </w:pPr>
            <w:r w:rsidRPr="009E2AB2">
              <w:rPr>
                <w:rFonts w:cs="Arial"/>
                <w:sz w:val="16"/>
                <w:szCs w:val="16"/>
              </w:rPr>
              <w:t>Verblijfsduur</w:t>
            </w:r>
          </w:p>
        </w:tc>
        <w:tc>
          <w:tcPr>
            <w:tcW w:w="2638" w:type="dxa"/>
            <w:shd w:val="clear" w:color="auto" w:fill="FABF8F" w:themeFill="accent6" w:themeFillTint="99"/>
          </w:tcPr>
          <w:p w14:paraId="1424FF0A"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Gemiddelde duur dat een bezoeker op het evenement aanwezig is.</w:t>
            </w:r>
          </w:p>
        </w:tc>
        <w:tc>
          <w:tcPr>
            <w:tcW w:w="2505" w:type="dxa"/>
            <w:shd w:val="clear" w:color="auto" w:fill="FABF8F" w:themeFill="accent6" w:themeFillTint="99"/>
          </w:tcPr>
          <w:p w14:paraId="6A58D4C2"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Hoe langer aanwezig hoe:</w:t>
            </w:r>
          </w:p>
          <w:p w14:paraId="6CE7042B" w14:textId="77777777" w:rsidR="00E72B0F" w:rsidRPr="009E2AB2" w:rsidRDefault="00E72B0F" w:rsidP="00E72B0F">
            <w:pPr>
              <w:pStyle w:val="Lijstalinea"/>
              <w:numPr>
                <w:ilvl w:val="0"/>
                <w:numId w:val="3"/>
              </w:numPr>
              <w:spacing w:before="0" w:beforeAutospacing="0" w:after="0" w:afterAutospacing="0" w:line="240" w:lineRule="auto"/>
              <w:ind w:left="364"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groter de kans op mogelijke verspreiding/besmetting van het coronavirus en;</w:t>
            </w:r>
          </w:p>
          <w:p w14:paraId="7597E2D3" w14:textId="77777777" w:rsidR="00E72B0F" w:rsidRPr="009E2AB2" w:rsidRDefault="00E72B0F" w:rsidP="00E72B0F">
            <w:pPr>
              <w:pStyle w:val="Lijstalinea"/>
              <w:numPr>
                <w:ilvl w:val="0"/>
                <w:numId w:val="3"/>
              </w:numPr>
              <w:spacing w:before="0" w:beforeAutospacing="0" w:after="0" w:afterAutospacing="0" w:line="240" w:lineRule="auto"/>
              <w:ind w:left="364"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hoe groter de kans op het oplopen van het coronavirus.</w:t>
            </w:r>
          </w:p>
        </w:tc>
        <w:tc>
          <w:tcPr>
            <w:tcW w:w="2505" w:type="dxa"/>
            <w:shd w:val="clear" w:color="auto" w:fill="FABF8F" w:themeFill="accent6" w:themeFillTint="99"/>
          </w:tcPr>
          <w:p w14:paraId="30CBFDF3" w14:textId="4C39CB8F" w:rsidR="00E72B0F" w:rsidRPr="009E2AB2" w:rsidRDefault="00E72B0F" w:rsidP="009E2AB2">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14:paraId="5623F398" w14:textId="77777777" w:rsidTr="00CE40F7">
        <w:trPr>
          <w:trHeight w:val="1181"/>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7777DB49" w14:textId="77777777" w:rsidR="00E72B0F" w:rsidRPr="009E2AB2" w:rsidRDefault="00E72B0F" w:rsidP="00CE40F7">
            <w:pPr>
              <w:rPr>
                <w:rFonts w:cs="Arial"/>
                <w:sz w:val="16"/>
                <w:szCs w:val="16"/>
              </w:rPr>
            </w:pPr>
            <w:r w:rsidRPr="009E2AB2">
              <w:rPr>
                <w:rFonts w:cs="Arial"/>
                <w:sz w:val="16"/>
                <w:szCs w:val="16"/>
              </w:rPr>
              <w:t>Herleidbaarheid bezoekers</w:t>
            </w:r>
          </w:p>
        </w:tc>
        <w:tc>
          <w:tcPr>
            <w:tcW w:w="2638" w:type="dxa"/>
            <w:shd w:val="clear" w:color="auto" w:fill="FBD4B4" w:themeFill="accent6" w:themeFillTint="66"/>
          </w:tcPr>
          <w:p w14:paraId="4C247468"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Zijn de bezoekers (achteraf) te herleiden? Wie zijn ze?</w:t>
            </w:r>
          </w:p>
        </w:tc>
        <w:tc>
          <w:tcPr>
            <w:tcW w:w="2505" w:type="dxa"/>
            <w:shd w:val="clear" w:color="auto" w:fill="FBD4B4" w:themeFill="accent6" w:themeFillTint="66"/>
          </w:tcPr>
          <w:p w14:paraId="2D92A169"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Ter verbetering en ondersteuning  van mogelijk bron- en contactonderzoek door de GGD. Tevens mogelijkheid om bezoekers vooraf (handelingsperspectieven) en achteraf te informeren.</w:t>
            </w:r>
          </w:p>
        </w:tc>
        <w:tc>
          <w:tcPr>
            <w:tcW w:w="2505" w:type="dxa"/>
            <w:shd w:val="clear" w:color="auto" w:fill="FBD4B4" w:themeFill="accent6" w:themeFillTint="66"/>
          </w:tcPr>
          <w:p w14:paraId="6D46F4A3" w14:textId="469ABA16"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14:paraId="23905E82" w14:textId="77777777" w:rsidTr="00CE40F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980" w:type="dxa"/>
            <w:shd w:val="clear" w:color="auto" w:fill="F79646" w:themeFill="accent6"/>
          </w:tcPr>
          <w:p w14:paraId="3C44FB17" w14:textId="77777777" w:rsidR="00E72B0F" w:rsidRPr="009E2AB2" w:rsidRDefault="00E72B0F" w:rsidP="00CE40F7">
            <w:pPr>
              <w:rPr>
                <w:rFonts w:cs="Arial"/>
                <w:sz w:val="16"/>
                <w:szCs w:val="16"/>
              </w:rPr>
            </w:pPr>
            <w:r w:rsidRPr="009E2AB2">
              <w:rPr>
                <w:rFonts w:cs="Arial"/>
                <w:sz w:val="16"/>
                <w:szCs w:val="16"/>
              </w:rPr>
              <w:t>Herkomst bezoekers</w:t>
            </w:r>
          </w:p>
        </w:tc>
        <w:tc>
          <w:tcPr>
            <w:tcW w:w="2638" w:type="dxa"/>
            <w:shd w:val="clear" w:color="auto" w:fill="FABF8F" w:themeFill="accent6" w:themeFillTint="99"/>
          </w:tcPr>
          <w:p w14:paraId="3D617846"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Waar komt het publiek vandaan?</w:t>
            </w:r>
          </w:p>
          <w:p w14:paraId="5F4FE3E1" w14:textId="77777777" w:rsidR="00E72B0F" w:rsidRPr="009E2AB2" w:rsidRDefault="00E72B0F" w:rsidP="009E2AB2">
            <w:pPr>
              <w:pStyle w:val="Lijstalinea"/>
              <w:numPr>
                <w:ilvl w:val="0"/>
                <w:numId w:val="4"/>
              </w:numPr>
              <w:spacing w:before="0" w:beforeAutospacing="0" w:after="0" w:afterAutospacing="0" w:line="240" w:lineRule="auto"/>
              <w:ind w:left="351"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Betreft het een lokaal/regionaal/interregionaal/internationaal publiek?</w:t>
            </w:r>
          </w:p>
          <w:p w14:paraId="16E60F66" w14:textId="77777777" w:rsidR="00E72B0F" w:rsidRPr="009E2AB2" w:rsidRDefault="00E72B0F" w:rsidP="00CE40F7">
            <w:pPr>
              <w:ind w:firstLine="708"/>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05" w:type="dxa"/>
            <w:shd w:val="clear" w:color="auto" w:fill="FABF8F" w:themeFill="accent6" w:themeFillTint="99"/>
          </w:tcPr>
          <w:p w14:paraId="12E97BAC"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Risico op verspreiding van COVID-19 in een groter deel van het land is bij regionaal of interregionaal groter dan bij lokaal.</w:t>
            </w:r>
          </w:p>
          <w:p w14:paraId="223A3121"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2D7B88F2"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Bij lokale evenementen is het makkelijker voor de GGD om te herleiden waar mogelijke besmettingen zich naartoe hebben verspreid.</w:t>
            </w:r>
          </w:p>
        </w:tc>
        <w:tc>
          <w:tcPr>
            <w:tcW w:w="2505" w:type="dxa"/>
            <w:shd w:val="clear" w:color="auto" w:fill="FABF8F" w:themeFill="accent6" w:themeFillTint="99"/>
          </w:tcPr>
          <w:p w14:paraId="77416A1A" w14:textId="38E1A83F"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74866CD4" w14:textId="77777777" w:rsidR="00E72B0F" w:rsidRDefault="00E72B0F" w:rsidP="00E72B0F">
      <w:pPr>
        <w:spacing w:after="200" w:line="276" w:lineRule="auto"/>
        <w:rPr>
          <w:rFonts w:ascii="Calibri Light" w:hAnsi="Calibri Light" w:cs="Calibri Light"/>
          <w:b/>
          <w:bCs/>
          <w:color w:val="365F91" w:themeColor="accent1" w:themeShade="BF"/>
          <w:sz w:val="22"/>
        </w:rPr>
      </w:pPr>
    </w:p>
    <w:p w14:paraId="6409E56B" w14:textId="77777777" w:rsidR="00E72B0F" w:rsidRPr="001E59B7" w:rsidRDefault="00E72B0F" w:rsidP="00E72B0F">
      <w:pPr>
        <w:spacing w:after="200" w:line="276" w:lineRule="auto"/>
        <w:rPr>
          <w:rFonts w:ascii="Calibri Light" w:hAnsi="Calibri Light" w:cs="Calibri Light"/>
          <w:b/>
          <w:bCs/>
          <w:color w:val="365F91" w:themeColor="accent1" w:themeShade="BF"/>
          <w:sz w:val="22"/>
        </w:rPr>
      </w:pPr>
      <w:r w:rsidRPr="001E59B7">
        <w:rPr>
          <w:rFonts w:ascii="Calibri Light" w:hAnsi="Calibri Light" w:cs="Calibri Light"/>
          <w:b/>
          <w:bCs/>
          <w:color w:val="365F91" w:themeColor="accent1" w:themeShade="BF"/>
          <w:sz w:val="22"/>
        </w:rPr>
        <w:t>Ruimtelijk profiel</w:t>
      </w:r>
    </w:p>
    <w:tbl>
      <w:tblPr>
        <w:tblStyle w:val="Rastertabel5donker-Accent21"/>
        <w:tblW w:w="9606" w:type="dxa"/>
        <w:tblLook w:val="04A0" w:firstRow="1" w:lastRow="0" w:firstColumn="1" w:lastColumn="0" w:noHBand="0" w:noVBand="1"/>
      </w:tblPr>
      <w:tblGrid>
        <w:gridCol w:w="2065"/>
        <w:gridCol w:w="2653"/>
        <w:gridCol w:w="2478"/>
        <w:gridCol w:w="2410"/>
      </w:tblGrid>
      <w:tr w:rsidR="00E72B0F" w14:paraId="73641F80" w14:textId="77777777" w:rsidTr="00E72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79646" w:themeFill="accent6"/>
          </w:tcPr>
          <w:p w14:paraId="6AB322FE" w14:textId="77777777" w:rsidR="00E72B0F" w:rsidRPr="00A0599B" w:rsidRDefault="00E72B0F" w:rsidP="00CE40F7">
            <w:pPr>
              <w:rPr>
                <w:b w:val="0"/>
                <w:bCs w:val="0"/>
                <w:sz w:val="20"/>
                <w:szCs w:val="20"/>
              </w:rPr>
            </w:pPr>
            <w:r w:rsidRPr="00A0599B">
              <w:rPr>
                <w:b w:val="0"/>
                <w:bCs w:val="0"/>
                <w:sz w:val="20"/>
                <w:szCs w:val="20"/>
              </w:rPr>
              <w:t xml:space="preserve">Risicofactor </w:t>
            </w:r>
          </w:p>
        </w:tc>
        <w:tc>
          <w:tcPr>
            <w:tcW w:w="2653" w:type="dxa"/>
            <w:shd w:val="clear" w:color="auto" w:fill="F79646" w:themeFill="accent6"/>
          </w:tcPr>
          <w:p w14:paraId="75526467" w14:textId="77777777" w:rsidR="00E72B0F" w:rsidRPr="00A0599B" w:rsidRDefault="00E72B0F" w:rsidP="00CE40F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0599B">
              <w:rPr>
                <w:b w:val="0"/>
                <w:bCs w:val="0"/>
                <w:sz w:val="20"/>
                <w:szCs w:val="20"/>
              </w:rPr>
              <w:t>Duiding</w:t>
            </w:r>
          </w:p>
        </w:tc>
        <w:tc>
          <w:tcPr>
            <w:tcW w:w="2478" w:type="dxa"/>
            <w:shd w:val="clear" w:color="auto" w:fill="F79646" w:themeFill="accent6"/>
          </w:tcPr>
          <w:p w14:paraId="74E2C677" w14:textId="77777777" w:rsidR="00E72B0F" w:rsidRPr="00A0599B" w:rsidRDefault="00E72B0F" w:rsidP="00CE40F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0599B">
              <w:rPr>
                <w:b w:val="0"/>
                <w:bCs w:val="0"/>
                <w:sz w:val="20"/>
                <w:szCs w:val="20"/>
              </w:rPr>
              <w:t>Onderbouwing</w:t>
            </w:r>
          </w:p>
        </w:tc>
        <w:tc>
          <w:tcPr>
            <w:tcW w:w="2410" w:type="dxa"/>
            <w:shd w:val="clear" w:color="auto" w:fill="F79646" w:themeFill="accent6"/>
          </w:tcPr>
          <w:p w14:paraId="3AE4B798" w14:textId="77777777" w:rsidR="00E72B0F" w:rsidRPr="00A0599B"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Toelichting organisatie</w:t>
            </w:r>
          </w:p>
        </w:tc>
      </w:tr>
      <w:tr w:rsidR="00E72B0F" w14:paraId="0103DC0F"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79646" w:themeFill="accent6"/>
          </w:tcPr>
          <w:p w14:paraId="6319772C" w14:textId="77777777" w:rsidR="00E72B0F" w:rsidRPr="009E2AB2" w:rsidRDefault="00E72B0F" w:rsidP="00CE40F7">
            <w:pPr>
              <w:rPr>
                <w:rFonts w:cs="Arial"/>
                <w:b w:val="0"/>
                <w:bCs w:val="0"/>
                <w:sz w:val="16"/>
                <w:szCs w:val="16"/>
              </w:rPr>
            </w:pPr>
            <w:r w:rsidRPr="009E2AB2">
              <w:rPr>
                <w:rFonts w:cs="Arial"/>
                <w:b w:val="0"/>
                <w:bCs w:val="0"/>
                <w:sz w:val="16"/>
                <w:szCs w:val="16"/>
              </w:rPr>
              <w:t>Ligging locatie</w:t>
            </w:r>
          </w:p>
        </w:tc>
        <w:tc>
          <w:tcPr>
            <w:tcW w:w="2653" w:type="dxa"/>
            <w:shd w:val="clear" w:color="auto" w:fill="FABF8F" w:themeFill="accent6" w:themeFillTint="99"/>
          </w:tcPr>
          <w:p w14:paraId="62FDAE9F"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Onder ligging wordt verstaan:</w:t>
            </w:r>
          </w:p>
          <w:p w14:paraId="3920E939" w14:textId="77777777" w:rsidR="00E72B0F" w:rsidRPr="009E2AB2" w:rsidRDefault="00E72B0F" w:rsidP="00E72B0F">
            <w:pPr>
              <w:pStyle w:val="Lijstalinea"/>
              <w:numPr>
                <w:ilvl w:val="0"/>
                <w:numId w:val="5"/>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Geografisch gezien</w:t>
            </w:r>
          </w:p>
          <w:p w14:paraId="3E9FF2EB"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78" w:type="dxa"/>
            <w:shd w:val="clear" w:color="auto" w:fill="FABF8F" w:themeFill="accent6" w:themeFillTint="99"/>
          </w:tcPr>
          <w:p w14:paraId="1936F897"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De ligging van de locatie kan van betekenis zijn voor:</w:t>
            </w:r>
          </w:p>
          <w:p w14:paraId="6CEB7CD0" w14:textId="77777777" w:rsidR="00E72B0F" w:rsidRPr="009E2AB2" w:rsidRDefault="00E72B0F" w:rsidP="00E72B0F">
            <w:pPr>
              <w:pStyle w:val="Lijstalinea"/>
              <w:numPr>
                <w:ilvl w:val="0"/>
                <w:numId w:val="5"/>
              </w:numPr>
              <w:spacing w:before="0" w:beforeAutospacing="0" w:after="0" w:afterAutospacing="0" w:line="240" w:lineRule="auto"/>
              <w:ind w:left="296"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Hoe komt het publiek naar het evenement? Wordt er bijvoorbeeld druk op de OV capaciteit verwacht?</w:t>
            </w:r>
          </w:p>
          <w:p w14:paraId="21202E1A" w14:textId="77777777" w:rsidR="00E72B0F" w:rsidRPr="009E2AB2" w:rsidRDefault="00E72B0F" w:rsidP="00E72B0F">
            <w:pPr>
              <w:pStyle w:val="Lijstalinea"/>
              <w:numPr>
                <w:ilvl w:val="0"/>
                <w:numId w:val="5"/>
              </w:numPr>
              <w:spacing w:before="0" w:beforeAutospacing="0" w:after="0" w:afterAutospacing="0" w:line="240" w:lineRule="auto"/>
              <w:ind w:left="296"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Eventuele (maatschappelijke) onrust in een gebied. Bijv. vanwege veel ziektegevallen.</w:t>
            </w:r>
          </w:p>
          <w:p w14:paraId="6A955CB5" w14:textId="77777777" w:rsidR="00E72B0F" w:rsidRPr="009E2AB2" w:rsidRDefault="00E72B0F" w:rsidP="00E72B0F">
            <w:pPr>
              <w:pStyle w:val="Lijstalinea"/>
              <w:numPr>
                <w:ilvl w:val="0"/>
                <w:numId w:val="5"/>
              </w:numPr>
              <w:spacing w:before="0" w:beforeAutospacing="0" w:after="0" w:afterAutospacing="0" w:line="240" w:lineRule="auto"/>
              <w:ind w:left="296"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Hoe staat het met de capaciteit van de zorg in dat gebied?</w:t>
            </w:r>
          </w:p>
        </w:tc>
        <w:tc>
          <w:tcPr>
            <w:tcW w:w="2410" w:type="dxa"/>
            <w:shd w:val="clear" w:color="auto" w:fill="FABF8F" w:themeFill="accent6" w:themeFillTint="99"/>
          </w:tcPr>
          <w:p w14:paraId="7F126D9B" w14:textId="440052F3" w:rsidR="00E72B0F" w:rsidRPr="0023649D" w:rsidRDefault="00E72B0F" w:rsidP="0023649D">
            <w:pPr>
              <w:pStyle w:val="Tekstopmerking"/>
              <w:cnfStyle w:val="000000100000" w:firstRow="0" w:lastRow="0" w:firstColumn="0" w:lastColumn="0" w:oddVBand="0" w:evenVBand="0" w:oddHBand="1" w:evenHBand="0" w:firstRowFirstColumn="0" w:firstRowLastColumn="0" w:lastRowFirstColumn="0" w:lastRowLastColumn="0"/>
              <w:rPr>
                <w:rFonts w:ascii="Arial" w:hAnsi="Arial" w:cs="Arial"/>
                <w:b/>
                <w:color w:val="0070C0"/>
                <w:sz w:val="16"/>
                <w:szCs w:val="16"/>
              </w:rPr>
            </w:pPr>
          </w:p>
        </w:tc>
      </w:tr>
      <w:tr w:rsidR="00E72B0F" w14:paraId="1F6BAAAA" w14:textId="77777777" w:rsidTr="00E72B0F">
        <w:tc>
          <w:tcPr>
            <w:cnfStyle w:val="001000000000" w:firstRow="0" w:lastRow="0" w:firstColumn="1" w:lastColumn="0" w:oddVBand="0" w:evenVBand="0" w:oddHBand="0" w:evenHBand="0" w:firstRowFirstColumn="0" w:firstRowLastColumn="0" w:lastRowFirstColumn="0" w:lastRowLastColumn="0"/>
            <w:tcW w:w="2065" w:type="dxa"/>
            <w:shd w:val="clear" w:color="auto" w:fill="F79646" w:themeFill="accent6"/>
          </w:tcPr>
          <w:p w14:paraId="0C1DCB99" w14:textId="77777777" w:rsidR="00E72B0F" w:rsidRPr="009E2AB2" w:rsidRDefault="00E72B0F" w:rsidP="00CE40F7">
            <w:pPr>
              <w:rPr>
                <w:rFonts w:cs="Arial"/>
                <w:b w:val="0"/>
                <w:bCs w:val="0"/>
                <w:sz w:val="16"/>
                <w:szCs w:val="16"/>
              </w:rPr>
            </w:pPr>
            <w:r w:rsidRPr="009E2AB2">
              <w:rPr>
                <w:rFonts w:cs="Arial"/>
                <w:b w:val="0"/>
                <w:bCs w:val="0"/>
                <w:sz w:val="16"/>
                <w:szCs w:val="16"/>
              </w:rPr>
              <w:t xml:space="preserve">(Lucht)klimaat </w:t>
            </w:r>
          </w:p>
        </w:tc>
        <w:tc>
          <w:tcPr>
            <w:tcW w:w="2653" w:type="dxa"/>
            <w:shd w:val="clear" w:color="auto" w:fill="FABF8F" w:themeFill="accent6" w:themeFillTint="99"/>
          </w:tcPr>
          <w:p w14:paraId="6E185D22"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Onder luchtklimaat wordt verstaan:</w:t>
            </w:r>
          </w:p>
          <w:p w14:paraId="37B9E1AB" w14:textId="77777777" w:rsidR="00E72B0F" w:rsidRPr="009E2AB2" w:rsidRDefault="00E72B0F" w:rsidP="00E72B0F">
            <w:pPr>
              <w:pStyle w:val="Lijstalinea"/>
              <w:numPr>
                <w:ilvl w:val="0"/>
                <w:numId w:val="7"/>
              </w:numPr>
              <w:spacing w:before="0" w:beforeAutospacing="0" w:after="0" w:afterAutospacing="0" w:line="240" w:lineRule="auto"/>
              <w:ind w:left="326" w:hanging="313"/>
              <w:contextualSpacing/>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Het klimaat in binnen locaties, w.o. ook tenten.</w:t>
            </w:r>
          </w:p>
        </w:tc>
        <w:tc>
          <w:tcPr>
            <w:tcW w:w="2478" w:type="dxa"/>
            <w:shd w:val="clear" w:color="auto" w:fill="FABF8F" w:themeFill="accent6" w:themeFillTint="99"/>
          </w:tcPr>
          <w:p w14:paraId="7113262C"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Het (wordt aangenomen) dat het risico van verspreiding van ziekteverwekkers via de lucht bij een slechte luchtventilatie groter wordt.</w:t>
            </w:r>
          </w:p>
        </w:tc>
        <w:tc>
          <w:tcPr>
            <w:tcW w:w="2410" w:type="dxa"/>
            <w:shd w:val="clear" w:color="auto" w:fill="FABF8F" w:themeFill="accent6" w:themeFillTint="99"/>
          </w:tcPr>
          <w:p w14:paraId="06AC6A03" w14:textId="5B7B1ADA"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14:paraId="18415157"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79646" w:themeFill="accent6"/>
          </w:tcPr>
          <w:p w14:paraId="007F10BB" w14:textId="77777777" w:rsidR="00E72B0F" w:rsidRPr="009E2AB2" w:rsidRDefault="0023649D" w:rsidP="00CE40F7">
            <w:pPr>
              <w:rPr>
                <w:rFonts w:cs="Arial"/>
                <w:b w:val="0"/>
                <w:bCs w:val="0"/>
                <w:sz w:val="16"/>
                <w:szCs w:val="16"/>
              </w:rPr>
            </w:pPr>
            <w:r w:rsidRPr="009E2AB2">
              <w:rPr>
                <w:rFonts w:cs="Arial"/>
                <w:b w:val="0"/>
                <w:bCs w:val="0"/>
                <w:sz w:val="16"/>
                <w:szCs w:val="16"/>
              </w:rPr>
              <w:t>Hygiëne</w:t>
            </w:r>
            <w:r w:rsidR="00E72B0F" w:rsidRPr="009E2AB2">
              <w:rPr>
                <w:rFonts w:cs="Arial"/>
                <w:b w:val="0"/>
                <w:bCs w:val="0"/>
                <w:sz w:val="16"/>
                <w:szCs w:val="16"/>
              </w:rPr>
              <w:t xml:space="preserve"> </w:t>
            </w:r>
          </w:p>
        </w:tc>
        <w:tc>
          <w:tcPr>
            <w:tcW w:w="2653" w:type="dxa"/>
            <w:shd w:val="clear" w:color="auto" w:fill="FBD4B4" w:themeFill="accent6" w:themeFillTint="66"/>
          </w:tcPr>
          <w:p w14:paraId="25B188A9"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RIVM: Hygiëne is een verzamelnaam voor alle handelingen die ervoor zorgen dat je zo min mogelijk in aanraking komt met ziekteverwekkers.</w:t>
            </w:r>
          </w:p>
          <w:p w14:paraId="26D4941D"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4442DDE9"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Onder COVID-gerelateerde hygiëne op evenementen verstaan we: de kwaliteit en kwantiteit van schoonmaak (desinfectie oppervlakten) en de mogelijkheden die er zijn om handen te wassen. Maar ook hygiëne van (bereiding) van voedsel.</w:t>
            </w:r>
          </w:p>
        </w:tc>
        <w:tc>
          <w:tcPr>
            <w:tcW w:w="2478" w:type="dxa"/>
            <w:shd w:val="clear" w:color="auto" w:fill="FBD4B4" w:themeFill="accent6" w:themeFillTint="66"/>
          </w:tcPr>
          <w:p w14:paraId="54480CC5"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Goede hygiëne heeft een positief effect op het tegengaan van verspreiding van het virus.</w:t>
            </w:r>
          </w:p>
        </w:tc>
        <w:tc>
          <w:tcPr>
            <w:tcW w:w="2410" w:type="dxa"/>
            <w:shd w:val="clear" w:color="auto" w:fill="FBD4B4" w:themeFill="accent6" w:themeFillTint="66"/>
          </w:tcPr>
          <w:p w14:paraId="6B1ED0E8" w14:textId="1CC21096"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1CDA303A" w14:textId="3EE92E57" w:rsidR="00E72B0F" w:rsidRDefault="006E263C" w:rsidP="00E72B0F">
      <w:pPr>
        <w:spacing w:after="200" w:line="276" w:lineRule="auto"/>
      </w:pPr>
      <w:r>
        <w:br/>
      </w:r>
      <w:r>
        <w:br/>
      </w:r>
      <w:r>
        <w:br/>
      </w:r>
      <w:r>
        <w:br/>
      </w:r>
      <w:r>
        <w:br/>
      </w:r>
      <w:r>
        <w:br/>
      </w:r>
      <w:r>
        <w:br/>
      </w:r>
      <w:r>
        <w:br/>
      </w:r>
    </w:p>
    <w:p w14:paraId="7978EEB1" w14:textId="77777777" w:rsidR="00E72B0F" w:rsidRPr="001E59B7" w:rsidRDefault="00E72B0F" w:rsidP="00E72B0F">
      <w:pPr>
        <w:spacing w:after="200" w:line="276" w:lineRule="auto"/>
        <w:rPr>
          <w:rFonts w:ascii="Calibri Light" w:hAnsi="Calibri Light" w:cs="Calibri Light"/>
          <w:b/>
          <w:bCs/>
          <w:color w:val="365F91" w:themeColor="accent1" w:themeShade="BF"/>
          <w:sz w:val="22"/>
        </w:rPr>
      </w:pPr>
      <w:r w:rsidRPr="001E59B7">
        <w:rPr>
          <w:rFonts w:ascii="Calibri Light" w:hAnsi="Calibri Light" w:cs="Calibri Light"/>
          <w:b/>
          <w:bCs/>
          <w:color w:val="365F91" w:themeColor="accent1" w:themeShade="BF"/>
          <w:sz w:val="22"/>
        </w:rPr>
        <w:lastRenderedPageBreak/>
        <w:t>Activiteiten profiel</w:t>
      </w:r>
    </w:p>
    <w:tbl>
      <w:tblPr>
        <w:tblStyle w:val="Rastertabel5donker-Accent21"/>
        <w:tblW w:w="9606" w:type="dxa"/>
        <w:tblLook w:val="04A0" w:firstRow="1" w:lastRow="0" w:firstColumn="1" w:lastColumn="0" w:noHBand="0" w:noVBand="1"/>
      </w:tblPr>
      <w:tblGrid>
        <w:gridCol w:w="1518"/>
        <w:gridCol w:w="3201"/>
        <w:gridCol w:w="2477"/>
        <w:gridCol w:w="2410"/>
      </w:tblGrid>
      <w:tr w:rsidR="00E72B0F" w14:paraId="482D112A" w14:textId="77777777" w:rsidTr="00E72B0F">
        <w:trPr>
          <w:cnfStyle w:val="100000000000" w:firstRow="1" w:lastRow="0" w:firstColumn="0" w:lastColumn="0" w:oddVBand="0" w:evenVBand="0" w:oddHBand="0"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18" w:type="dxa"/>
            <w:shd w:val="clear" w:color="auto" w:fill="F79646" w:themeFill="accent6"/>
          </w:tcPr>
          <w:p w14:paraId="2F6A0366" w14:textId="77777777" w:rsidR="00E72B0F" w:rsidRPr="000267CF" w:rsidRDefault="00E72B0F" w:rsidP="00CE40F7">
            <w:pPr>
              <w:rPr>
                <w:sz w:val="20"/>
                <w:szCs w:val="20"/>
              </w:rPr>
            </w:pPr>
            <w:r w:rsidRPr="000267CF">
              <w:rPr>
                <w:sz w:val="20"/>
                <w:szCs w:val="20"/>
              </w:rPr>
              <w:t xml:space="preserve">Risicofactor </w:t>
            </w:r>
          </w:p>
        </w:tc>
        <w:tc>
          <w:tcPr>
            <w:tcW w:w="3201" w:type="dxa"/>
            <w:shd w:val="clear" w:color="auto" w:fill="F79646" w:themeFill="accent6"/>
          </w:tcPr>
          <w:p w14:paraId="111126B7"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0267CF">
              <w:rPr>
                <w:sz w:val="20"/>
                <w:szCs w:val="20"/>
              </w:rPr>
              <w:t>Duiding</w:t>
            </w:r>
          </w:p>
        </w:tc>
        <w:tc>
          <w:tcPr>
            <w:tcW w:w="2477" w:type="dxa"/>
            <w:shd w:val="clear" w:color="auto" w:fill="F79646" w:themeFill="accent6"/>
          </w:tcPr>
          <w:p w14:paraId="5A06F8F8"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0267CF">
              <w:rPr>
                <w:sz w:val="20"/>
                <w:szCs w:val="20"/>
              </w:rPr>
              <w:t>Onderbouwing</w:t>
            </w:r>
          </w:p>
        </w:tc>
        <w:tc>
          <w:tcPr>
            <w:tcW w:w="2410" w:type="dxa"/>
            <w:shd w:val="clear" w:color="auto" w:fill="F79646" w:themeFill="accent6"/>
          </w:tcPr>
          <w:p w14:paraId="588A2EAA"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Toelichting organisatie</w:t>
            </w:r>
          </w:p>
        </w:tc>
      </w:tr>
      <w:tr w:rsidR="00E72B0F" w14:paraId="7CD98865"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shd w:val="clear" w:color="auto" w:fill="F79646" w:themeFill="accent6"/>
          </w:tcPr>
          <w:p w14:paraId="03F85732" w14:textId="77777777" w:rsidR="00E72B0F" w:rsidRPr="009E2AB2" w:rsidRDefault="00E72B0F" w:rsidP="00CE40F7">
            <w:pPr>
              <w:rPr>
                <w:rFonts w:cs="Arial"/>
                <w:b w:val="0"/>
                <w:bCs w:val="0"/>
                <w:sz w:val="16"/>
                <w:szCs w:val="16"/>
              </w:rPr>
            </w:pPr>
            <w:r w:rsidRPr="009E2AB2">
              <w:rPr>
                <w:rFonts w:cs="Arial"/>
                <w:b w:val="0"/>
                <w:bCs w:val="0"/>
                <w:sz w:val="16"/>
                <w:szCs w:val="16"/>
              </w:rPr>
              <w:t>Relatie aard activiteit en publiek</w:t>
            </w:r>
          </w:p>
        </w:tc>
        <w:tc>
          <w:tcPr>
            <w:tcW w:w="3201" w:type="dxa"/>
            <w:shd w:val="clear" w:color="auto" w:fill="FABF8F" w:themeFill="accent6" w:themeFillTint="99"/>
          </w:tcPr>
          <w:p w14:paraId="6935D1F5"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De relatie tussen de activiteit en het publiek kenmerkt zich door:</w:t>
            </w:r>
          </w:p>
          <w:p w14:paraId="50C49811" w14:textId="77777777" w:rsidR="00E72B0F" w:rsidRPr="009E2AB2" w:rsidRDefault="00E72B0F" w:rsidP="00E72B0F">
            <w:pPr>
              <w:pStyle w:val="Lijstalinea"/>
              <w:numPr>
                <w:ilvl w:val="0"/>
                <w:numId w:val="8"/>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Leveren mensen een fysieke inspanning?</w:t>
            </w:r>
          </w:p>
          <w:p w14:paraId="210AABE1" w14:textId="77777777" w:rsidR="00E72B0F" w:rsidRPr="009E2AB2" w:rsidRDefault="00E72B0F" w:rsidP="00E72B0F">
            <w:pPr>
              <w:pStyle w:val="Lijstalinea"/>
              <w:numPr>
                <w:ilvl w:val="0"/>
                <w:numId w:val="8"/>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Is het publiek actief in de zin van dansen, zingen, schreeuwen, blazen, klappen en springen.</w:t>
            </w:r>
          </w:p>
        </w:tc>
        <w:tc>
          <w:tcPr>
            <w:tcW w:w="2477" w:type="dxa"/>
            <w:shd w:val="clear" w:color="auto" w:fill="FABF8F" w:themeFill="accent6" w:themeFillTint="99"/>
          </w:tcPr>
          <w:p w14:paraId="31709933" w14:textId="77777777" w:rsidR="00E72B0F" w:rsidRPr="009E2AB2" w:rsidRDefault="00E72B0F" w:rsidP="00E72B0F">
            <w:pPr>
              <w:pStyle w:val="Lijstalinea"/>
              <w:numPr>
                <w:ilvl w:val="0"/>
                <w:numId w:val="8"/>
              </w:numPr>
              <w:spacing w:before="0" w:beforeAutospacing="0" w:after="0" w:afterAutospacing="0" w:line="240" w:lineRule="auto"/>
              <w:ind w:left="229" w:hanging="229"/>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Fysieke inspanning en schreeuwen/zingen zorgt voor meer adem/aerosolen;</w:t>
            </w:r>
          </w:p>
          <w:p w14:paraId="47B217C9" w14:textId="77777777" w:rsidR="00E72B0F" w:rsidRPr="009E2AB2" w:rsidRDefault="00E72B0F" w:rsidP="00E72B0F">
            <w:pPr>
              <w:pStyle w:val="Lijstalinea"/>
              <w:numPr>
                <w:ilvl w:val="0"/>
                <w:numId w:val="9"/>
              </w:numPr>
              <w:spacing w:before="0" w:beforeAutospacing="0" w:after="0" w:afterAutospacing="0" w:line="240" w:lineRule="auto"/>
              <w:ind w:left="296" w:hanging="283"/>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Fysiek inspanning levert een verhoogde kans op letsel (druk op capaciteit zorg).</w:t>
            </w:r>
          </w:p>
        </w:tc>
        <w:tc>
          <w:tcPr>
            <w:tcW w:w="2410" w:type="dxa"/>
            <w:shd w:val="clear" w:color="auto" w:fill="FABF8F" w:themeFill="accent6" w:themeFillTint="99"/>
          </w:tcPr>
          <w:p w14:paraId="4C4E8F3A" w14:textId="5C0319D7" w:rsidR="00A85760" w:rsidRPr="0023649D" w:rsidRDefault="00A85760" w:rsidP="009E2AB2">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14:paraId="3B07B7F7" w14:textId="77777777" w:rsidTr="00E72B0F">
        <w:tc>
          <w:tcPr>
            <w:cnfStyle w:val="001000000000" w:firstRow="0" w:lastRow="0" w:firstColumn="1" w:lastColumn="0" w:oddVBand="0" w:evenVBand="0" w:oddHBand="0" w:evenHBand="0" w:firstRowFirstColumn="0" w:firstRowLastColumn="0" w:lastRowFirstColumn="0" w:lastRowLastColumn="0"/>
            <w:tcW w:w="1518" w:type="dxa"/>
            <w:shd w:val="clear" w:color="auto" w:fill="F79646" w:themeFill="accent6"/>
          </w:tcPr>
          <w:p w14:paraId="40529336" w14:textId="77777777" w:rsidR="00E72B0F" w:rsidRPr="009E2AB2" w:rsidRDefault="00E72B0F" w:rsidP="00CE40F7">
            <w:pPr>
              <w:rPr>
                <w:rFonts w:cs="Arial"/>
                <w:b w:val="0"/>
                <w:bCs w:val="0"/>
                <w:sz w:val="16"/>
                <w:szCs w:val="16"/>
              </w:rPr>
            </w:pPr>
            <w:r w:rsidRPr="009E2AB2">
              <w:rPr>
                <w:rFonts w:cs="Arial"/>
                <w:b w:val="0"/>
                <w:bCs w:val="0"/>
                <w:sz w:val="16"/>
                <w:szCs w:val="16"/>
              </w:rPr>
              <w:t>Programmering</w:t>
            </w:r>
          </w:p>
        </w:tc>
        <w:tc>
          <w:tcPr>
            <w:tcW w:w="3201" w:type="dxa"/>
            <w:shd w:val="clear" w:color="auto" w:fill="FBD4B4" w:themeFill="accent6" w:themeFillTint="66"/>
          </w:tcPr>
          <w:p w14:paraId="3AE656A9"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Hoe zit het programma van het evenement er uit? Zijn er publiekstrekkers? Verzamelen bezoekers zich recht voor het podium/de activiteit? Dit heeft invloed op publieksdichtheid, gedrag publiek, in en uitstroom, mobiliteit</w:t>
            </w:r>
          </w:p>
          <w:p w14:paraId="31975548"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9E2AB2">
              <w:rPr>
                <w:rFonts w:cs="Arial"/>
                <w:sz w:val="16"/>
                <w:szCs w:val="16"/>
              </w:rPr>
              <w:t>Denk ook aan gevolgrisico’s zoals crowdsurfing en moshpits bij bepaalde artiesten. Maar ook polonaise en “links rechts” taferelen</w:t>
            </w:r>
            <w:r w:rsidRPr="009E2AB2">
              <w:rPr>
                <w:rFonts w:cs="Arial"/>
                <w:color w:val="FF0000"/>
                <w:sz w:val="16"/>
                <w:szCs w:val="16"/>
              </w:rPr>
              <w:t>.</w:t>
            </w:r>
          </w:p>
          <w:p w14:paraId="15AF745D"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color w:val="4F81BD" w:themeColor="accent1"/>
                <w:sz w:val="16"/>
                <w:szCs w:val="16"/>
              </w:rPr>
            </w:pPr>
          </w:p>
        </w:tc>
        <w:tc>
          <w:tcPr>
            <w:tcW w:w="2477" w:type="dxa"/>
            <w:shd w:val="clear" w:color="auto" w:fill="FBD4B4" w:themeFill="accent6" w:themeFillTint="66"/>
          </w:tcPr>
          <w:p w14:paraId="070FD906"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Spreiding van activiteiten en locaties zorgt voor spreiding van publiek. De spreiding van publiek speelt een rol in het verlagen van de kans op (massa) besmetting.</w:t>
            </w:r>
          </w:p>
          <w:p w14:paraId="0605685E"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Een harde start en stop van het evenement leidt tot massale in- en uitstroom.</w:t>
            </w:r>
          </w:p>
        </w:tc>
        <w:tc>
          <w:tcPr>
            <w:tcW w:w="2410" w:type="dxa"/>
            <w:shd w:val="clear" w:color="auto" w:fill="FBD4B4" w:themeFill="accent6" w:themeFillTint="66"/>
          </w:tcPr>
          <w:p w14:paraId="18817F92" w14:textId="7E0334A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322953DA" w14:textId="77777777" w:rsidR="00E72B0F" w:rsidRDefault="00E72B0F" w:rsidP="00E72B0F">
      <w:pPr>
        <w:spacing w:after="200" w:line="276" w:lineRule="auto"/>
        <w:rPr>
          <w:rFonts w:ascii="Calibri Light" w:hAnsi="Calibri Light" w:cs="Calibri Light"/>
          <w:b/>
          <w:bCs/>
          <w:color w:val="365F91" w:themeColor="accent1" w:themeShade="BF"/>
          <w:sz w:val="22"/>
          <w:szCs w:val="28"/>
        </w:rPr>
      </w:pPr>
    </w:p>
    <w:p w14:paraId="768292DB" w14:textId="77777777" w:rsidR="00E72B0F" w:rsidRPr="001E59B7" w:rsidRDefault="00E72B0F" w:rsidP="00E72B0F">
      <w:pPr>
        <w:spacing w:after="200" w:line="276" w:lineRule="auto"/>
        <w:rPr>
          <w:rFonts w:ascii="Calibri Light" w:hAnsi="Calibri Light" w:cs="Calibri Light"/>
          <w:b/>
          <w:bCs/>
          <w:color w:val="365F91" w:themeColor="accent1" w:themeShade="BF"/>
          <w:sz w:val="22"/>
          <w:szCs w:val="28"/>
        </w:rPr>
      </w:pPr>
      <w:r w:rsidRPr="001E59B7">
        <w:rPr>
          <w:rFonts w:ascii="Calibri Light" w:hAnsi="Calibri Light" w:cs="Calibri Light"/>
          <w:b/>
          <w:bCs/>
          <w:color w:val="365F91" w:themeColor="accent1" w:themeShade="BF"/>
          <w:sz w:val="22"/>
          <w:szCs w:val="28"/>
        </w:rPr>
        <w:t>Organisatie profiel</w:t>
      </w:r>
    </w:p>
    <w:tbl>
      <w:tblPr>
        <w:tblStyle w:val="Rastertabel5donker-Accent21"/>
        <w:tblW w:w="9606" w:type="dxa"/>
        <w:tblLook w:val="04A0" w:firstRow="1" w:lastRow="0" w:firstColumn="1" w:lastColumn="0" w:noHBand="0" w:noVBand="1"/>
      </w:tblPr>
      <w:tblGrid>
        <w:gridCol w:w="2071"/>
        <w:gridCol w:w="2655"/>
        <w:gridCol w:w="2470"/>
        <w:gridCol w:w="2410"/>
      </w:tblGrid>
      <w:tr w:rsidR="00E72B0F" w14:paraId="422AA52E" w14:textId="77777777" w:rsidTr="00E72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shd w:val="clear" w:color="auto" w:fill="F79646" w:themeFill="accent6"/>
          </w:tcPr>
          <w:p w14:paraId="0A48D266" w14:textId="77777777" w:rsidR="00E72B0F" w:rsidRPr="000267CF" w:rsidRDefault="00E72B0F" w:rsidP="00CE40F7">
            <w:pPr>
              <w:rPr>
                <w:sz w:val="20"/>
                <w:szCs w:val="20"/>
              </w:rPr>
            </w:pPr>
            <w:r w:rsidRPr="000267CF">
              <w:rPr>
                <w:sz w:val="20"/>
                <w:szCs w:val="20"/>
              </w:rPr>
              <w:t xml:space="preserve">Risicofactor </w:t>
            </w:r>
          </w:p>
        </w:tc>
        <w:tc>
          <w:tcPr>
            <w:tcW w:w="2655" w:type="dxa"/>
            <w:shd w:val="clear" w:color="auto" w:fill="F79646" w:themeFill="accent6"/>
          </w:tcPr>
          <w:p w14:paraId="26BC49D4"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0267CF">
              <w:rPr>
                <w:sz w:val="20"/>
                <w:szCs w:val="20"/>
              </w:rPr>
              <w:t>Duiding</w:t>
            </w:r>
          </w:p>
        </w:tc>
        <w:tc>
          <w:tcPr>
            <w:tcW w:w="2470" w:type="dxa"/>
            <w:shd w:val="clear" w:color="auto" w:fill="F79646" w:themeFill="accent6"/>
          </w:tcPr>
          <w:p w14:paraId="20691B64"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sidRPr="000267CF">
              <w:rPr>
                <w:sz w:val="20"/>
                <w:szCs w:val="20"/>
              </w:rPr>
              <w:t>Onderbouwing</w:t>
            </w:r>
          </w:p>
        </w:tc>
        <w:tc>
          <w:tcPr>
            <w:tcW w:w="2410" w:type="dxa"/>
            <w:shd w:val="clear" w:color="auto" w:fill="F79646" w:themeFill="accent6"/>
          </w:tcPr>
          <w:p w14:paraId="7B4C88D7" w14:textId="77777777" w:rsidR="00E72B0F" w:rsidRPr="000267CF" w:rsidRDefault="00E72B0F" w:rsidP="00CE40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Toelichting organisatie</w:t>
            </w:r>
          </w:p>
        </w:tc>
      </w:tr>
      <w:tr w:rsidR="00E72B0F" w:rsidRPr="009E2AB2" w14:paraId="0EF61CC8"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shd w:val="clear" w:color="auto" w:fill="F79646" w:themeFill="accent6"/>
          </w:tcPr>
          <w:p w14:paraId="790F9FF6" w14:textId="77777777" w:rsidR="00E72B0F" w:rsidRPr="009E2AB2" w:rsidRDefault="00E72B0F" w:rsidP="00CE40F7">
            <w:pPr>
              <w:rPr>
                <w:rFonts w:cs="Arial"/>
                <w:b w:val="0"/>
                <w:bCs w:val="0"/>
                <w:sz w:val="16"/>
                <w:szCs w:val="16"/>
              </w:rPr>
            </w:pPr>
            <w:r w:rsidRPr="009E2AB2">
              <w:rPr>
                <w:rFonts w:cs="Arial"/>
                <w:b w:val="0"/>
                <w:bCs w:val="0"/>
                <w:sz w:val="16"/>
                <w:szCs w:val="16"/>
              </w:rPr>
              <w:t>Professionaliteit</w:t>
            </w:r>
          </w:p>
        </w:tc>
        <w:tc>
          <w:tcPr>
            <w:tcW w:w="2655" w:type="dxa"/>
            <w:shd w:val="clear" w:color="auto" w:fill="FABF8F" w:themeFill="accent6" w:themeFillTint="99"/>
          </w:tcPr>
          <w:p w14:paraId="6778A0CB"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Onder professionaliteit wordt verstaan:</w:t>
            </w:r>
          </w:p>
          <w:p w14:paraId="19BD727A" w14:textId="77777777" w:rsidR="00E72B0F" w:rsidRPr="009E2AB2" w:rsidRDefault="00E72B0F" w:rsidP="00E72B0F">
            <w:pPr>
              <w:pStyle w:val="Lijstalinea"/>
              <w:numPr>
                <w:ilvl w:val="0"/>
                <w:numId w:val="10"/>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Risicobewust;</w:t>
            </w:r>
          </w:p>
          <w:p w14:paraId="13DD66EC" w14:textId="77777777" w:rsidR="00E72B0F" w:rsidRPr="009E2AB2" w:rsidRDefault="00E72B0F" w:rsidP="00E72B0F">
            <w:pPr>
              <w:pStyle w:val="Lijstalinea"/>
              <w:numPr>
                <w:ilvl w:val="0"/>
                <w:numId w:val="10"/>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Veiligheid en gezondheid staan voorop;</w:t>
            </w:r>
          </w:p>
          <w:p w14:paraId="2FC232D8" w14:textId="77777777" w:rsidR="00E72B0F" w:rsidRPr="009E2AB2" w:rsidRDefault="00E72B0F" w:rsidP="00E72B0F">
            <w:pPr>
              <w:pStyle w:val="Lijstalinea"/>
              <w:numPr>
                <w:ilvl w:val="0"/>
                <w:numId w:val="10"/>
              </w:numPr>
              <w:spacing w:before="0" w:beforeAutospacing="0" w:after="0" w:afterAutospacing="0" w:line="240" w:lineRule="auto"/>
              <w:ind w:left="333" w:hanging="284"/>
              <w:contextualSpacing/>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Betrouwbaar, komt afspraken na.</w:t>
            </w:r>
          </w:p>
        </w:tc>
        <w:tc>
          <w:tcPr>
            <w:tcW w:w="2470" w:type="dxa"/>
            <w:shd w:val="clear" w:color="auto" w:fill="FABF8F" w:themeFill="accent6" w:themeFillTint="99"/>
          </w:tcPr>
          <w:p w14:paraId="48254A68"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De organisatie is verantwoordelijk voor de uitvoering van de maatregelen. De veiligheid en gezondheid van het publiek staat of valt met deze maatregelen. </w:t>
            </w:r>
          </w:p>
        </w:tc>
        <w:tc>
          <w:tcPr>
            <w:tcW w:w="2410" w:type="dxa"/>
            <w:shd w:val="clear" w:color="auto" w:fill="FABF8F" w:themeFill="accent6" w:themeFillTint="99"/>
          </w:tcPr>
          <w:p w14:paraId="59A44BA0" w14:textId="5C07EBEB"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rsidRPr="009E2AB2" w14:paraId="79DEE1B5" w14:textId="77777777" w:rsidTr="00E72B0F">
        <w:trPr>
          <w:trHeight w:val="757"/>
        </w:trPr>
        <w:tc>
          <w:tcPr>
            <w:cnfStyle w:val="001000000000" w:firstRow="0" w:lastRow="0" w:firstColumn="1" w:lastColumn="0" w:oddVBand="0" w:evenVBand="0" w:oddHBand="0" w:evenHBand="0" w:firstRowFirstColumn="0" w:firstRowLastColumn="0" w:lastRowFirstColumn="0" w:lastRowLastColumn="0"/>
            <w:tcW w:w="2071" w:type="dxa"/>
            <w:shd w:val="clear" w:color="auto" w:fill="F79646" w:themeFill="accent6"/>
          </w:tcPr>
          <w:p w14:paraId="12BAEE77" w14:textId="77777777" w:rsidR="00E72B0F" w:rsidRPr="009E2AB2" w:rsidRDefault="00E72B0F" w:rsidP="00CE40F7">
            <w:pPr>
              <w:rPr>
                <w:rFonts w:cs="Arial"/>
                <w:b w:val="0"/>
                <w:bCs w:val="0"/>
                <w:sz w:val="16"/>
                <w:szCs w:val="16"/>
              </w:rPr>
            </w:pPr>
            <w:r w:rsidRPr="009E2AB2">
              <w:rPr>
                <w:rFonts w:cs="Arial"/>
                <w:b w:val="0"/>
                <w:bCs w:val="0"/>
                <w:sz w:val="16"/>
                <w:szCs w:val="16"/>
              </w:rPr>
              <w:t xml:space="preserve">  Communicatie</w:t>
            </w:r>
          </w:p>
        </w:tc>
        <w:tc>
          <w:tcPr>
            <w:tcW w:w="2655" w:type="dxa"/>
            <w:shd w:val="clear" w:color="auto" w:fill="FBD4B4" w:themeFill="accent6" w:themeFillTint="66"/>
          </w:tcPr>
          <w:p w14:paraId="285AFB7C"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Kan de organisatie vooraf of tijdens het evenement het publiek informeren om risico’s te reduceren.</w:t>
            </w:r>
          </w:p>
          <w:p w14:paraId="456E9CFD"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3F8960B0"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144F246B"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3B34E69A"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70" w:type="dxa"/>
            <w:shd w:val="clear" w:color="auto" w:fill="FBD4B4" w:themeFill="accent6" w:themeFillTint="66"/>
          </w:tcPr>
          <w:p w14:paraId="777F7197"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color w:val="FF0000"/>
                <w:sz w:val="16"/>
                <w:szCs w:val="16"/>
              </w:rPr>
            </w:pPr>
            <w:r w:rsidRPr="009E2AB2">
              <w:rPr>
                <w:rFonts w:cs="Arial"/>
                <w:sz w:val="16"/>
                <w:szCs w:val="16"/>
              </w:rPr>
              <w:t>Duidelijk communiceren wat wel en niet meer mogelijk is zodat ook achteraf geen discussies kunnen ontstaan en het naleven van regels gestimuleerd wordt.</w:t>
            </w:r>
          </w:p>
        </w:tc>
        <w:tc>
          <w:tcPr>
            <w:tcW w:w="2410" w:type="dxa"/>
            <w:shd w:val="clear" w:color="auto" w:fill="FBD4B4" w:themeFill="accent6" w:themeFillTint="66"/>
          </w:tcPr>
          <w:p w14:paraId="6F35B147" w14:textId="36F27CF3"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7685D2C3" w14:textId="77777777" w:rsidR="00E72B0F" w:rsidRPr="009E2AB2" w:rsidRDefault="00E72B0F" w:rsidP="00E72B0F">
      <w:pPr>
        <w:spacing w:after="200" w:line="276" w:lineRule="auto"/>
        <w:rPr>
          <w:rFonts w:cs="Arial"/>
          <w:sz w:val="16"/>
          <w:szCs w:val="16"/>
        </w:rPr>
      </w:pPr>
    </w:p>
    <w:p w14:paraId="06F38658" w14:textId="77777777" w:rsidR="00E72B0F" w:rsidRPr="009E2AB2" w:rsidRDefault="00E72B0F" w:rsidP="00E72B0F">
      <w:pPr>
        <w:keepNext/>
        <w:keepLines/>
        <w:spacing w:before="40" w:line="259" w:lineRule="auto"/>
        <w:outlineLvl w:val="1"/>
        <w:rPr>
          <w:rFonts w:ascii="Calibri Light" w:eastAsia="Times New Roman" w:hAnsi="Calibri Light" w:cs="Calibri Light"/>
          <w:b/>
          <w:bCs/>
          <w:color w:val="2F5496"/>
          <w:sz w:val="22"/>
        </w:rPr>
      </w:pPr>
      <w:r w:rsidRPr="009E2AB2">
        <w:rPr>
          <w:rFonts w:ascii="Calibri Light" w:eastAsia="Times New Roman" w:hAnsi="Calibri Light" w:cs="Calibri Light"/>
          <w:b/>
          <w:bCs/>
          <w:color w:val="2F5496"/>
          <w:sz w:val="22"/>
        </w:rPr>
        <w:t>Contextfactoren/ Verdere overwegingen</w:t>
      </w:r>
      <w:r w:rsidR="009E2AB2">
        <w:rPr>
          <w:rFonts w:ascii="Calibri Light" w:eastAsia="Times New Roman" w:hAnsi="Calibri Light" w:cs="Calibri Light"/>
          <w:b/>
          <w:bCs/>
          <w:color w:val="2F5496"/>
          <w:sz w:val="22"/>
        </w:rPr>
        <w:br/>
      </w:r>
    </w:p>
    <w:tbl>
      <w:tblPr>
        <w:tblStyle w:val="Rastertabel5donker-Accent21"/>
        <w:tblW w:w="9606" w:type="dxa"/>
        <w:tblLook w:val="04A0" w:firstRow="1" w:lastRow="0" w:firstColumn="1" w:lastColumn="0" w:noHBand="0" w:noVBand="1"/>
      </w:tblPr>
      <w:tblGrid>
        <w:gridCol w:w="2573"/>
        <w:gridCol w:w="2688"/>
        <w:gridCol w:w="2043"/>
        <w:gridCol w:w="2302"/>
      </w:tblGrid>
      <w:tr w:rsidR="00E72B0F" w:rsidRPr="009E2AB2" w14:paraId="75B6C871" w14:textId="77777777" w:rsidTr="009E2AB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4775890D" w14:textId="77777777" w:rsidR="00E72B0F" w:rsidRPr="009E2AB2" w:rsidRDefault="00E72B0F" w:rsidP="00CE40F7">
            <w:pPr>
              <w:rPr>
                <w:rFonts w:cs="Arial"/>
                <w:sz w:val="20"/>
                <w:szCs w:val="20"/>
              </w:rPr>
            </w:pPr>
            <w:r w:rsidRPr="009E2AB2">
              <w:rPr>
                <w:rFonts w:cs="Arial"/>
                <w:sz w:val="20"/>
                <w:szCs w:val="20"/>
              </w:rPr>
              <w:t xml:space="preserve">Overweging/Risicofactor </w:t>
            </w:r>
          </w:p>
        </w:tc>
        <w:tc>
          <w:tcPr>
            <w:tcW w:w="2688" w:type="dxa"/>
            <w:shd w:val="clear" w:color="auto" w:fill="F79646" w:themeFill="accent6"/>
          </w:tcPr>
          <w:p w14:paraId="0317A293" w14:textId="77777777" w:rsidR="00E72B0F" w:rsidRPr="009E2AB2" w:rsidRDefault="00E72B0F" w:rsidP="00CE40F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9E2AB2">
              <w:rPr>
                <w:rFonts w:cs="Arial"/>
                <w:sz w:val="20"/>
                <w:szCs w:val="20"/>
              </w:rPr>
              <w:t>Duiding</w:t>
            </w:r>
          </w:p>
        </w:tc>
        <w:tc>
          <w:tcPr>
            <w:tcW w:w="2043" w:type="dxa"/>
            <w:shd w:val="clear" w:color="auto" w:fill="F79646" w:themeFill="accent6"/>
          </w:tcPr>
          <w:p w14:paraId="3CC495A1" w14:textId="77777777" w:rsidR="00E72B0F" w:rsidRPr="009E2AB2" w:rsidRDefault="00E72B0F" w:rsidP="00CE40F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9E2AB2">
              <w:rPr>
                <w:rFonts w:cs="Arial"/>
                <w:sz w:val="20"/>
                <w:szCs w:val="20"/>
              </w:rPr>
              <w:t>Onderbouwing</w:t>
            </w:r>
          </w:p>
        </w:tc>
        <w:tc>
          <w:tcPr>
            <w:tcW w:w="2302" w:type="dxa"/>
            <w:shd w:val="clear" w:color="auto" w:fill="F79646" w:themeFill="accent6"/>
          </w:tcPr>
          <w:p w14:paraId="5CAD0C1E" w14:textId="77777777" w:rsidR="00E72B0F" w:rsidRPr="009E2AB2" w:rsidRDefault="00E72B0F" w:rsidP="00CE40F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9E2AB2">
              <w:rPr>
                <w:rFonts w:cs="Arial"/>
                <w:sz w:val="20"/>
                <w:szCs w:val="20"/>
              </w:rPr>
              <w:t xml:space="preserve">Toelichting organisatie </w:t>
            </w:r>
          </w:p>
        </w:tc>
      </w:tr>
      <w:tr w:rsidR="00E72B0F" w:rsidRPr="009E2AB2" w14:paraId="7914B8F3"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00348653" w14:textId="77777777" w:rsidR="00E72B0F" w:rsidRPr="009E2AB2" w:rsidRDefault="00E72B0F" w:rsidP="00CE40F7">
            <w:pPr>
              <w:rPr>
                <w:rFonts w:eastAsia="Times New Roman" w:cs="Arial"/>
                <w:b w:val="0"/>
                <w:bCs w:val="0"/>
                <w:sz w:val="16"/>
                <w:szCs w:val="16"/>
              </w:rPr>
            </w:pPr>
            <w:r w:rsidRPr="009E2AB2">
              <w:rPr>
                <w:rFonts w:eastAsia="Times New Roman" w:cs="Arial"/>
                <w:b w:val="0"/>
                <w:bCs w:val="0"/>
                <w:sz w:val="16"/>
                <w:szCs w:val="16"/>
              </w:rPr>
              <w:t>Capaciteit huisartsen en ziekenhuizen</w:t>
            </w:r>
          </w:p>
        </w:tc>
        <w:tc>
          <w:tcPr>
            <w:tcW w:w="2688" w:type="dxa"/>
            <w:shd w:val="clear" w:color="auto" w:fill="FABF8F" w:themeFill="accent6" w:themeFillTint="99"/>
          </w:tcPr>
          <w:p w14:paraId="7A11C796"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Legt het evenement beslag op de regionale zorgcontinuïteit? </w:t>
            </w:r>
          </w:p>
          <w:p w14:paraId="1722B07E"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28D9A253"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Is er voldoende capaciteit om bij een calamiteit te kunnen optreden?</w:t>
            </w:r>
          </w:p>
        </w:tc>
        <w:tc>
          <w:tcPr>
            <w:tcW w:w="2043" w:type="dxa"/>
            <w:shd w:val="clear" w:color="auto" w:fill="FABF8F" w:themeFill="accent6" w:themeFillTint="99"/>
          </w:tcPr>
          <w:p w14:paraId="403507BE"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Wanneer er geen alert door de GHOR is afgegeven, is deze factor niet relevant in de afweging.</w:t>
            </w:r>
          </w:p>
          <w:p w14:paraId="4D76E9B3"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65F06486"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De factor kan spelen tijdens de vergunningverlening, maar ook nog enkele dagen voor het evenement wijzigen.</w:t>
            </w:r>
          </w:p>
        </w:tc>
        <w:tc>
          <w:tcPr>
            <w:tcW w:w="2302" w:type="dxa"/>
            <w:shd w:val="clear" w:color="auto" w:fill="FABF8F" w:themeFill="accent6" w:themeFillTint="99"/>
          </w:tcPr>
          <w:p w14:paraId="524D431E" w14:textId="12A386F1"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rsidRPr="009E2AB2" w14:paraId="6275E8AC" w14:textId="77777777" w:rsidTr="00E72B0F">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2B08476D" w14:textId="77777777" w:rsidR="00E72B0F" w:rsidRPr="009E2AB2" w:rsidRDefault="00E72B0F" w:rsidP="00CE40F7">
            <w:pPr>
              <w:rPr>
                <w:rFonts w:cs="Arial"/>
                <w:b w:val="0"/>
                <w:bCs w:val="0"/>
                <w:sz w:val="16"/>
                <w:szCs w:val="16"/>
              </w:rPr>
            </w:pPr>
            <w:r w:rsidRPr="009E2AB2">
              <w:rPr>
                <w:rFonts w:cs="Arial"/>
                <w:b w:val="0"/>
                <w:bCs w:val="0"/>
                <w:sz w:val="16"/>
                <w:szCs w:val="16"/>
              </w:rPr>
              <w:t>Capaciteit advisering hulpdiensten</w:t>
            </w:r>
          </w:p>
        </w:tc>
        <w:tc>
          <w:tcPr>
            <w:tcW w:w="2688" w:type="dxa"/>
            <w:shd w:val="clear" w:color="auto" w:fill="FBD4B4" w:themeFill="accent6" w:themeFillTint="66"/>
          </w:tcPr>
          <w:p w14:paraId="77A8F1E4"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Beschikbare tijd om een vergunningsaanvraag te beoordelen en te voorzien van een kwalitatief goed advies.</w:t>
            </w:r>
          </w:p>
        </w:tc>
        <w:tc>
          <w:tcPr>
            <w:tcW w:w="2043" w:type="dxa"/>
            <w:shd w:val="clear" w:color="auto" w:fill="FBD4B4" w:themeFill="accent6" w:themeFillTint="66"/>
          </w:tcPr>
          <w:p w14:paraId="2754BB1B"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302" w:type="dxa"/>
            <w:shd w:val="clear" w:color="auto" w:fill="FBD4B4" w:themeFill="accent6" w:themeFillTint="66"/>
          </w:tcPr>
          <w:p w14:paraId="789AB746"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rsidRPr="009E2AB2" w14:paraId="100E94FC"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606BEC38" w14:textId="77777777" w:rsidR="00E72B0F" w:rsidRPr="009E2AB2" w:rsidRDefault="00E72B0F" w:rsidP="00CE40F7">
            <w:pPr>
              <w:rPr>
                <w:rFonts w:cs="Arial"/>
                <w:b w:val="0"/>
                <w:bCs w:val="0"/>
                <w:sz w:val="16"/>
                <w:szCs w:val="16"/>
              </w:rPr>
            </w:pPr>
            <w:r w:rsidRPr="009E2AB2">
              <w:rPr>
                <w:rFonts w:cs="Arial"/>
                <w:b w:val="0"/>
                <w:bCs w:val="0"/>
                <w:sz w:val="16"/>
                <w:szCs w:val="16"/>
              </w:rPr>
              <w:t>Capaciteit inzet (hulp)diensten tijdens evenement</w:t>
            </w:r>
          </w:p>
          <w:p w14:paraId="2752031A" w14:textId="77777777" w:rsidR="00E72B0F" w:rsidRPr="009E2AB2" w:rsidRDefault="00E72B0F" w:rsidP="00CE40F7">
            <w:pPr>
              <w:rPr>
                <w:rFonts w:cs="Arial"/>
                <w:sz w:val="16"/>
                <w:szCs w:val="16"/>
              </w:rPr>
            </w:pPr>
          </w:p>
        </w:tc>
        <w:tc>
          <w:tcPr>
            <w:tcW w:w="2688" w:type="dxa"/>
            <w:shd w:val="clear" w:color="auto" w:fill="FABF8F" w:themeFill="accent6" w:themeFillTint="99"/>
          </w:tcPr>
          <w:p w14:paraId="104DBF5C"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De beschikbare capaciteit van  zowel diensten zoals beveiliging, EHBO en verkeersregelaars als hulpdiensten die ingezet kan worden ten behoeve van een evenement.</w:t>
            </w:r>
          </w:p>
        </w:tc>
        <w:tc>
          <w:tcPr>
            <w:tcW w:w="2043" w:type="dxa"/>
            <w:shd w:val="clear" w:color="auto" w:fill="FABF8F" w:themeFill="accent6" w:themeFillTint="99"/>
          </w:tcPr>
          <w:p w14:paraId="11B2E7C5"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Om veiligheid en gezondheid zoveel mogelijk te waarborgen kan inzet van beveiliging, EHBO en/of hulpdiensten noodzakelijk zijn. </w:t>
            </w:r>
          </w:p>
        </w:tc>
        <w:tc>
          <w:tcPr>
            <w:tcW w:w="2302" w:type="dxa"/>
            <w:shd w:val="clear" w:color="auto" w:fill="FABF8F" w:themeFill="accent6" w:themeFillTint="99"/>
          </w:tcPr>
          <w:p w14:paraId="17721EA6" w14:textId="267C7C08" w:rsidR="00A85760" w:rsidRPr="00A85760" w:rsidRDefault="00A85760" w:rsidP="00CE40F7">
            <w:pPr>
              <w:cnfStyle w:val="000000100000" w:firstRow="0" w:lastRow="0" w:firstColumn="0" w:lastColumn="0" w:oddVBand="0" w:evenVBand="0" w:oddHBand="1" w:evenHBand="0" w:firstRowFirstColumn="0" w:firstRowLastColumn="0" w:lastRowFirstColumn="0" w:lastRowLastColumn="0"/>
              <w:rPr>
                <w:rFonts w:cs="Arial"/>
                <w:b/>
                <w:color w:val="0070C0"/>
                <w:sz w:val="16"/>
                <w:szCs w:val="16"/>
              </w:rPr>
            </w:pPr>
            <w:bookmarkStart w:id="1" w:name="_GoBack"/>
            <w:bookmarkEnd w:id="1"/>
          </w:p>
        </w:tc>
      </w:tr>
      <w:tr w:rsidR="00E72B0F" w:rsidRPr="009E2AB2" w14:paraId="13227234" w14:textId="77777777" w:rsidTr="00E72B0F">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1A763063" w14:textId="77777777" w:rsidR="00E72B0F" w:rsidRPr="009E2AB2" w:rsidRDefault="00E72B0F" w:rsidP="00CE40F7">
            <w:pPr>
              <w:rPr>
                <w:rFonts w:eastAsia="Times New Roman" w:cs="Arial"/>
                <w:b w:val="0"/>
                <w:bCs w:val="0"/>
                <w:sz w:val="16"/>
                <w:szCs w:val="16"/>
              </w:rPr>
            </w:pPr>
            <w:r w:rsidRPr="009E2AB2">
              <w:rPr>
                <w:rFonts w:eastAsia="Times New Roman" w:cs="Arial"/>
                <w:b w:val="0"/>
                <w:bCs w:val="0"/>
                <w:sz w:val="16"/>
                <w:szCs w:val="16"/>
              </w:rPr>
              <w:t>Capaciteit gemeenten i.h.k.v. vergunningverlening en toezicht.</w:t>
            </w:r>
          </w:p>
        </w:tc>
        <w:tc>
          <w:tcPr>
            <w:tcW w:w="2688" w:type="dxa"/>
            <w:shd w:val="clear" w:color="auto" w:fill="FBD4B4" w:themeFill="accent6" w:themeFillTint="66"/>
          </w:tcPr>
          <w:p w14:paraId="432AF937"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Vindt er gemeentelijk toezicht tijdens het evenement plaats? Hoe wordt het toezicht georganiseerd?</w:t>
            </w:r>
          </w:p>
        </w:tc>
        <w:tc>
          <w:tcPr>
            <w:tcW w:w="2043" w:type="dxa"/>
            <w:shd w:val="clear" w:color="auto" w:fill="FBD4B4" w:themeFill="accent6" w:themeFillTint="66"/>
          </w:tcPr>
          <w:p w14:paraId="62A7961C"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De inzet van toezicht bevordert de naleving van de ingediende plannen en het naleven van COVID-maatregelen.</w:t>
            </w:r>
          </w:p>
        </w:tc>
        <w:tc>
          <w:tcPr>
            <w:tcW w:w="2302" w:type="dxa"/>
            <w:shd w:val="clear" w:color="auto" w:fill="FBD4B4" w:themeFill="accent6" w:themeFillTint="66"/>
          </w:tcPr>
          <w:p w14:paraId="523695EC"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rsidRPr="009E2AB2" w14:paraId="5A7B8CDB"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2B83E4D9" w14:textId="77777777" w:rsidR="00E72B0F" w:rsidRPr="009E2AB2" w:rsidRDefault="00E72B0F" w:rsidP="00CE40F7">
            <w:pPr>
              <w:rPr>
                <w:rFonts w:eastAsia="Times New Roman" w:cs="Arial"/>
                <w:b w:val="0"/>
                <w:bCs w:val="0"/>
                <w:sz w:val="16"/>
                <w:szCs w:val="16"/>
              </w:rPr>
            </w:pPr>
            <w:r w:rsidRPr="009E2AB2">
              <w:rPr>
                <w:rFonts w:eastAsia="Times New Roman" w:cs="Arial"/>
                <w:b w:val="0"/>
                <w:bCs w:val="0"/>
                <w:sz w:val="16"/>
                <w:szCs w:val="16"/>
              </w:rPr>
              <w:t>Invloed van jaargetijde/ weer</w:t>
            </w:r>
          </w:p>
        </w:tc>
        <w:tc>
          <w:tcPr>
            <w:tcW w:w="2688" w:type="dxa"/>
            <w:shd w:val="clear" w:color="auto" w:fill="FABF8F" w:themeFill="accent6" w:themeFillTint="99"/>
          </w:tcPr>
          <w:p w14:paraId="7DEF15E5"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 xml:space="preserve">In welk jaargetijde vindt het evenement plaats? </w:t>
            </w:r>
          </w:p>
          <w:p w14:paraId="5827F3D1"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Blijven mensen thuis bij slecht weer?</w:t>
            </w:r>
          </w:p>
          <w:p w14:paraId="0FC17C0F"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Als outdoor-evenement; zijn er voldoende beschutte plaatsen?</w:t>
            </w:r>
          </w:p>
          <w:p w14:paraId="0CC10AD8"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043" w:type="dxa"/>
            <w:shd w:val="clear" w:color="auto" w:fill="FABF8F" w:themeFill="accent6" w:themeFillTint="99"/>
          </w:tcPr>
          <w:p w14:paraId="64C9A734"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Analoog aan griep zal het weer en de weerstand van mensen van invloed zijn op de overdraagbaarheid van.</w:t>
            </w:r>
          </w:p>
          <w:p w14:paraId="27207293"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Bij slechte weersomstandigheden (regen, hevige wind, koude) verzamelen bezoekers zich op plaatsen waar het aangenaam is. Bijvoorbeeld in een tent, onder een overkapping of andere beschutte plaats. Als er onvoldoende beschutte ruimte is, kan de  1,5 m onvoldoende worden nagekomen.</w:t>
            </w:r>
          </w:p>
        </w:tc>
        <w:tc>
          <w:tcPr>
            <w:tcW w:w="2302" w:type="dxa"/>
            <w:shd w:val="clear" w:color="auto" w:fill="FABF8F" w:themeFill="accent6" w:themeFillTint="99"/>
          </w:tcPr>
          <w:p w14:paraId="22D82E79" w14:textId="0FB0434F"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72B0F" w:rsidRPr="009E2AB2" w14:paraId="302D65F0" w14:textId="77777777" w:rsidTr="00E72B0F">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50D7908A" w14:textId="77777777" w:rsidR="00E72B0F" w:rsidRPr="009E2AB2" w:rsidRDefault="00E72B0F" w:rsidP="00CE40F7">
            <w:pPr>
              <w:rPr>
                <w:rFonts w:eastAsia="Times New Roman" w:cs="Arial"/>
                <w:sz w:val="16"/>
                <w:szCs w:val="16"/>
              </w:rPr>
            </w:pPr>
            <w:r w:rsidRPr="009E2AB2">
              <w:rPr>
                <w:rFonts w:eastAsia="Times New Roman" w:cs="Arial"/>
                <w:sz w:val="16"/>
                <w:szCs w:val="16"/>
              </w:rPr>
              <w:t>Dieren</w:t>
            </w:r>
          </w:p>
        </w:tc>
        <w:tc>
          <w:tcPr>
            <w:tcW w:w="2688" w:type="dxa"/>
            <w:shd w:val="clear" w:color="auto" w:fill="FBD4B4" w:themeFill="accent6" w:themeFillTint="66"/>
          </w:tcPr>
          <w:p w14:paraId="78D0D5F2"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Zijn er dieren aanwezig?</w:t>
            </w:r>
          </w:p>
        </w:tc>
        <w:tc>
          <w:tcPr>
            <w:tcW w:w="2043" w:type="dxa"/>
            <w:shd w:val="clear" w:color="auto" w:fill="FBD4B4" w:themeFill="accent6" w:themeFillTint="66"/>
          </w:tcPr>
          <w:p w14:paraId="7EACA09E" w14:textId="77777777"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E2AB2">
              <w:rPr>
                <w:rFonts w:cs="Arial"/>
                <w:sz w:val="16"/>
                <w:szCs w:val="16"/>
              </w:rPr>
              <w:t>Risico op (massale) verspreiding bij bijv. dierenshows.</w:t>
            </w:r>
          </w:p>
        </w:tc>
        <w:tc>
          <w:tcPr>
            <w:tcW w:w="2302" w:type="dxa"/>
            <w:shd w:val="clear" w:color="auto" w:fill="FBD4B4" w:themeFill="accent6" w:themeFillTint="66"/>
          </w:tcPr>
          <w:p w14:paraId="3F9AC968" w14:textId="7812D6AF" w:rsidR="00E72B0F" w:rsidRPr="009E2AB2" w:rsidRDefault="00E72B0F" w:rsidP="00CE40F7">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72B0F" w:rsidRPr="009E2AB2" w14:paraId="0DDC768B" w14:textId="77777777" w:rsidTr="00E72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dxa"/>
            <w:shd w:val="clear" w:color="auto" w:fill="F79646" w:themeFill="accent6"/>
          </w:tcPr>
          <w:p w14:paraId="58AC62C8" w14:textId="77777777" w:rsidR="00E72B0F" w:rsidRPr="009E2AB2" w:rsidRDefault="00E72B0F" w:rsidP="00CE40F7">
            <w:pPr>
              <w:rPr>
                <w:rFonts w:eastAsia="Times New Roman" w:cs="Arial"/>
                <w:sz w:val="16"/>
                <w:szCs w:val="16"/>
              </w:rPr>
            </w:pPr>
            <w:r w:rsidRPr="009E2AB2">
              <w:rPr>
                <w:rFonts w:eastAsia="Times New Roman" w:cs="Arial"/>
                <w:sz w:val="16"/>
                <w:szCs w:val="16"/>
              </w:rPr>
              <w:t>Wet van Pleuris</w:t>
            </w:r>
          </w:p>
        </w:tc>
        <w:tc>
          <w:tcPr>
            <w:tcW w:w="2688" w:type="dxa"/>
            <w:shd w:val="clear" w:color="auto" w:fill="FABF8F" w:themeFill="accent6" w:themeFillTint="99"/>
          </w:tcPr>
          <w:p w14:paraId="68566E24"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E2AB2">
              <w:rPr>
                <w:rFonts w:cs="Arial"/>
                <w:sz w:val="16"/>
                <w:szCs w:val="16"/>
              </w:rPr>
              <w:t>De Wet van Pleuris legt een verband tussen drie variabelen van een gebeurtenis en de mate van commotie die kan ontstaan. Deze drie variabelen - Verwijtbaarheid (V), Relevantie (R) en Mediageniekheid (M) - zijn kenmerken van een gebeurtenis die objectief zijn vast te stellen. De Wet van Pleuris luidt: P = V x R x M2.</w:t>
            </w:r>
          </w:p>
        </w:tc>
        <w:tc>
          <w:tcPr>
            <w:tcW w:w="2043" w:type="dxa"/>
            <w:shd w:val="clear" w:color="auto" w:fill="FABF8F" w:themeFill="accent6" w:themeFillTint="99"/>
          </w:tcPr>
          <w:p w14:paraId="56CC52F6"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302" w:type="dxa"/>
            <w:shd w:val="clear" w:color="auto" w:fill="FABF8F" w:themeFill="accent6" w:themeFillTint="99"/>
          </w:tcPr>
          <w:p w14:paraId="7797992E" w14:textId="77777777" w:rsidR="00E72B0F" w:rsidRPr="009E2AB2" w:rsidRDefault="00E72B0F" w:rsidP="00CE40F7">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5DBC7DA6" w14:textId="77777777" w:rsidR="00E72B0F" w:rsidRPr="006C2B24" w:rsidRDefault="00E72B0F" w:rsidP="00E72B0F">
      <w:pPr>
        <w:spacing w:after="200" w:line="276" w:lineRule="auto"/>
      </w:pPr>
    </w:p>
    <w:p w14:paraId="232D2A44" w14:textId="77777777" w:rsidR="008C3859" w:rsidRDefault="008C3859"/>
    <w:sectPr w:rsidR="008C3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6C1"/>
    <w:multiLevelType w:val="hybridMultilevel"/>
    <w:tmpl w:val="E2184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10991"/>
    <w:multiLevelType w:val="hybridMultilevel"/>
    <w:tmpl w:val="74206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2733C"/>
    <w:multiLevelType w:val="hybridMultilevel"/>
    <w:tmpl w:val="4E988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374D83"/>
    <w:multiLevelType w:val="hybridMultilevel"/>
    <w:tmpl w:val="D60AC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2C607F"/>
    <w:multiLevelType w:val="hybridMultilevel"/>
    <w:tmpl w:val="53542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2630EA"/>
    <w:multiLevelType w:val="hybridMultilevel"/>
    <w:tmpl w:val="5B1CD3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CA17EE8"/>
    <w:multiLevelType w:val="hybridMultilevel"/>
    <w:tmpl w:val="DC402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164B64"/>
    <w:multiLevelType w:val="hybridMultilevel"/>
    <w:tmpl w:val="FAAEA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95BED"/>
    <w:multiLevelType w:val="hybridMultilevel"/>
    <w:tmpl w:val="AC782A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526E0C0D"/>
    <w:multiLevelType w:val="hybridMultilevel"/>
    <w:tmpl w:val="327E6B22"/>
    <w:lvl w:ilvl="0" w:tplc="F53200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E302B8"/>
    <w:multiLevelType w:val="hybridMultilevel"/>
    <w:tmpl w:val="F11C5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A645EE"/>
    <w:multiLevelType w:val="hybridMultilevel"/>
    <w:tmpl w:val="ED28C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1"/>
  </w:num>
  <w:num w:numId="6">
    <w:abstractNumId w:val="10"/>
  </w:num>
  <w:num w:numId="7">
    <w:abstractNumId w:val="7"/>
  </w:num>
  <w:num w:numId="8">
    <w:abstractNumId w:val="4"/>
  </w:num>
  <w:num w:numId="9">
    <w:abstractNumId w:val="6"/>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0F"/>
    <w:rsid w:val="0000021E"/>
    <w:rsid w:val="0000024D"/>
    <w:rsid w:val="00001E53"/>
    <w:rsid w:val="00002F72"/>
    <w:rsid w:val="000052B5"/>
    <w:rsid w:val="00012FC5"/>
    <w:rsid w:val="00013DB4"/>
    <w:rsid w:val="00020595"/>
    <w:rsid w:val="0002203B"/>
    <w:rsid w:val="000229F2"/>
    <w:rsid w:val="000258D3"/>
    <w:rsid w:val="00025CAB"/>
    <w:rsid w:val="00026227"/>
    <w:rsid w:val="000262F6"/>
    <w:rsid w:val="00027221"/>
    <w:rsid w:val="000302CC"/>
    <w:rsid w:val="00032B59"/>
    <w:rsid w:val="00033280"/>
    <w:rsid w:val="00040509"/>
    <w:rsid w:val="00041BD8"/>
    <w:rsid w:val="00044313"/>
    <w:rsid w:val="00044D99"/>
    <w:rsid w:val="00045EE5"/>
    <w:rsid w:val="00047D5D"/>
    <w:rsid w:val="00054894"/>
    <w:rsid w:val="00055369"/>
    <w:rsid w:val="00056AA7"/>
    <w:rsid w:val="00057A5F"/>
    <w:rsid w:val="00057BE4"/>
    <w:rsid w:val="0007250A"/>
    <w:rsid w:val="00075C27"/>
    <w:rsid w:val="0008299E"/>
    <w:rsid w:val="00083679"/>
    <w:rsid w:val="00087BD0"/>
    <w:rsid w:val="00090118"/>
    <w:rsid w:val="00093E64"/>
    <w:rsid w:val="000948A6"/>
    <w:rsid w:val="00095BB5"/>
    <w:rsid w:val="00096BC7"/>
    <w:rsid w:val="000A36F8"/>
    <w:rsid w:val="000A48C4"/>
    <w:rsid w:val="000B1DC8"/>
    <w:rsid w:val="000B212F"/>
    <w:rsid w:val="000B32C2"/>
    <w:rsid w:val="000B707F"/>
    <w:rsid w:val="000C1A34"/>
    <w:rsid w:val="000C1EC9"/>
    <w:rsid w:val="000C3E21"/>
    <w:rsid w:val="000C6632"/>
    <w:rsid w:val="000D1E1C"/>
    <w:rsid w:val="000D462C"/>
    <w:rsid w:val="000D4E51"/>
    <w:rsid w:val="000D54E3"/>
    <w:rsid w:val="000D5D33"/>
    <w:rsid w:val="000D6F59"/>
    <w:rsid w:val="000D7160"/>
    <w:rsid w:val="000D7C9E"/>
    <w:rsid w:val="000E1DB5"/>
    <w:rsid w:val="000E6C3A"/>
    <w:rsid w:val="000F34CC"/>
    <w:rsid w:val="000F5817"/>
    <w:rsid w:val="000F760A"/>
    <w:rsid w:val="0010500A"/>
    <w:rsid w:val="00105013"/>
    <w:rsid w:val="001056EE"/>
    <w:rsid w:val="00106FAF"/>
    <w:rsid w:val="001138EA"/>
    <w:rsid w:val="00113C82"/>
    <w:rsid w:val="00114891"/>
    <w:rsid w:val="00115390"/>
    <w:rsid w:val="00121858"/>
    <w:rsid w:val="001220F2"/>
    <w:rsid w:val="00123145"/>
    <w:rsid w:val="00124685"/>
    <w:rsid w:val="00126FBB"/>
    <w:rsid w:val="001324D7"/>
    <w:rsid w:val="00133C28"/>
    <w:rsid w:val="00136572"/>
    <w:rsid w:val="00142ED7"/>
    <w:rsid w:val="001437A8"/>
    <w:rsid w:val="001449E1"/>
    <w:rsid w:val="00146667"/>
    <w:rsid w:val="00153D9B"/>
    <w:rsid w:val="00162313"/>
    <w:rsid w:val="00162588"/>
    <w:rsid w:val="001626CE"/>
    <w:rsid w:val="0016670B"/>
    <w:rsid w:val="0016695E"/>
    <w:rsid w:val="00166E28"/>
    <w:rsid w:val="001677AA"/>
    <w:rsid w:val="001702EF"/>
    <w:rsid w:val="00171782"/>
    <w:rsid w:val="00181742"/>
    <w:rsid w:val="00181B72"/>
    <w:rsid w:val="00181FE4"/>
    <w:rsid w:val="00182CA2"/>
    <w:rsid w:val="0018352E"/>
    <w:rsid w:val="001849DD"/>
    <w:rsid w:val="00193B3B"/>
    <w:rsid w:val="0019449C"/>
    <w:rsid w:val="0019636B"/>
    <w:rsid w:val="00196966"/>
    <w:rsid w:val="0019699E"/>
    <w:rsid w:val="001A664A"/>
    <w:rsid w:val="001B0188"/>
    <w:rsid w:val="001B3FF7"/>
    <w:rsid w:val="001B495E"/>
    <w:rsid w:val="001B4FA9"/>
    <w:rsid w:val="001D1C1A"/>
    <w:rsid w:val="001D227B"/>
    <w:rsid w:val="001D406B"/>
    <w:rsid w:val="001D6CD5"/>
    <w:rsid w:val="001E0F9E"/>
    <w:rsid w:val="001E2D9E"/>
    <w:rsid w:val="001F0B56"/>
    <w:rsid w:val="001F343F"/>
    <w:rsid w:val="001F43F6"/>
    <w:rsid w:val="001F5F46"/>
    <w:rsid w:val="001F757C"/>
    <w:rsid w:val="00200B80"/>
    <w:rsid w:val="00204F25"/>
    <w:rsid w:val="0020705E"/>
    <w:rsid w:val="0021095E"/>
    <w:rsid w:val="00210C51"/>
    <w:rsid w:val="0021117E"/>
    <w:rsid w:val="00211A38"/>
    <w:rsid w:val="00216A44"/>
    <w:rsid w:val="00216DC8"/>
    <w:rsid w:val="00221A03"/>
    <w:rsid w:val="00225742"/>
    <w:rsid w:val="00225970"/>
    <w:rsid w:val="00225E87"/>
    <w:rsid w:val="002270A7"/>
    <w:rsid w:val="00231A24"/>
    <w:rsid w:val="002321D8"/>
    <w:rsid w:val="002336B4"/>
    <w:rsid w:val="00233A4B"/>
    <w:rsid w:val="00233B2E"/>
    <w:rsid w:val="002346BB"/>
    <w:rsid w:val="00234C95"/>
    <w:rsid w:val="00235CCB"/>
    <w:rsid w:val="0023649D"/>
    <w:rsid w:val="00241FB6"/>
    <w:rsid w:val="00242B10"/>
    <w:rsid w:val="00242FC3"/>
    <w:rsid w:val="00243749"/>
    <w:rsid w:val="00244CF6"/>
    <w:rsid w:val="00245F60"/>
    <w:rsid w:val="00247B16"/>
    <w:rsid w:val="00251719"/>
    <w:rsid w:val="00251B00"/>
    <w:rsid w:val="00251D10"/>
    <w:rsid w:val="0025296B"/>
    <w:rsid w:val="00253C46"/>
    <w:rsid w:val="0025550B"/>
    <w:rsid w:val="00255E60"/>
    <w:rsid w:val="00256030"/>
    <w:rsid w:val="00256CDF"/>
    <w:rsid w:val="00257E6B"/>
    <w:rsid w:val="002625DE"/>
    <w:rsid w:val="00263C2D"/>
    <w:rsid w:val="0027084D"/>
    <w:rsid w:val="00271C49"/>
    <w:rsid w:val="00272293"/>
    <w:rsid w:val="00276C19"/>
    <w:rsid w:val="002774AB"/>
    <w:rsid w:val="00277A91"/>
    <w:rsid w:val="00280BFC"/>
    <w:rsid w:val="00283234"/>
    <w:rsid w:val="00284EAA"/>
    <w:rsid w:val="00286897"/>
    <w:rsid w:val="00290535"/>
    <w:rsid w:val="002906F3"/>
    <w:rsid w:val="00291903"/>
    <w:rsid w:val="002944A4"/>
    <w:rsid w:val="002956AA"/>
    <w:rsid w:val="00295B3D"/>
    <w:rsid w:val="00295F79"/>
    <w:rsid w:val="00297A1D"/>
    <w:rsid w:val="002A1196"/>
    <w:rsid w:val="002A1825"/>
    <w:rsid w:val="002A20CF"/>
    <w:rsid w:val="002A518D"/>
    <w:rsid w:val="002A5769"/>
    <w:rsid w:val="002A5F4C"/>
    <w:rsid w:val="002A6886"/>
    <w:rsid w:val="002A7A71"/>
    <w:rsid w:val="002A7E07"/>
    <w:rsid w:val="002B0F07"/>
    <w:rsid w:val="002B0F44"/>
    <w:rsid w:val="002B2F14"/>
    <w:rsid w:val="002B49E7"/>
    <w:rsid w:val="002B680D"/>
    <w:rsid w:val="002C5052"/>
    <w:rsid w:val="002C5A44"/>
    <w:rsid w:val="002D2710"/>
    <w:rsid w:val="002D5649"/>
    <w:rsid w:val="002E5220"/>
    <w:rsid w:val="002E7E05"/>
    <w:rsid w:val="002F09DB"/>
    <w:rsid w:val="002F2DF2"/>
    <w:rsid w:val="002F68DC"/>
    <w:rsid w:val="002F6ABD"/>
    <w:rsid w:val="002F7E25"/>
    <w:rsid w:val="00303B28"/>
    <w:rsid w:val="00310EE5"/>
    <w:rsid w:val="0031154D"/>
    <w:rsid w:val="00311967"/>
    <w:rsid w:val="00312935"/>
    <w:rsid w:val="00317E6B"/>
    <w:rsid w:val="00320337"/>
    <w:rsid w:val="00321605"/>
    <w:rsid w:val="0032185D"/>
    <w:rsid w:val="00321E61"/>
    <w:rsid w:val="00323257"/>
    <w:rsid w:val="0032335E"/>
    <w:rsid w:val="003250D0"/>
    <w:rsid w:val="00325203"/>
    <w:rsid w:val="00326998"/>
    <w:rsid w:val="003354FC"/>
    <w:rsid w:val="00336872"/>
    <w:rsid w:val="00337F37"/>
    <w:rsid w:val="00340BAA"/>
    <w:rsid w:val="00342582"/>
    <w:rsid w:val="0034354E"/>
    <w:rsid w:val="00343E7C"/>
    <w:rsid w:val="003455F9"/>
    <w:rsid w:val="003516FA"/>
    <w:rsid w:val="00351FC9"/>
    <w:rsid w:val="003533BC"/>
    <w:rsid w:val="0035708A"/>
    <w:rsid w:val="003606BD"/>
    <w:rsid w:val="00361977"/>
    <w:rsid w:val="00361B6E"/>
    <w:rsid w:val="00362BB4"/>
    <w:rsid w:val="00367D32"/>
    <w:rsid w:val="0037193A"/>
    <w:rsid w:val="00371969"/>
    <w:rsid w:val="003724F8"/>
    <w:rsid w:val="00372652"/>
    <w:rsid w:val="00376739"/>
    <w:rsid w:val="0038054B"/>
    <w:rsid w:val="003820F9"/>
    <w:rsid w:val="003844A2"/>
    <w:rsid w:val="00385495"/>
    <w:rsid w:val="00385FEC"/>
    <w:rsid w:val="00386491"/>
    <w:rsid w:val="00386F64"/>
    <w:rsid w:val="00390EAA"/>
    <w:rsid w:val="00390FD0"/>
    <w:rsid w:val="00391263"/>
    <w:rsid w:val="00394643"/>
    <w:rsid w:val="00395F6D"/>
    <w:rsid w:val="003A0FF5"/>
    <w:rsid w:val="003A20E3"/>
    <w:rsid w:val="003A2C71"/>
    <w:rsid w:val="003A4917"/>
    <w:rsid w:val="003A4D35"/>
    <w:rsid w:val="003A554A"/>
    <w:rsid w:val="003B12A3"/>
    <w:rsid w:val="003B2EAF"/>
    <w:rsid w:val="003B4192"/>
    <w:rsid w:val="003B5D59"/>
    <w:rsid w:val="003B64CB"/>
    <w:rsid w:val="003C1732"/>
    <w:rsid w:val="003C20CB"/>
    <w:rsid w:val="003E05CD"/>
    <w:rsid w:val="003E4177"/>
    <w:rsid w:val="003E4E94"/>
    <w:rsid w:val="003E56B8"/>
    <w:rsid w:val="003E7D2A"/>
    <w:rsid w:val="003F0B46"/>
    <w:rsid w:val="003F37DE"/>
    <w:rsid w:val="003F7170"/>
    <w:rsid w:val="0040237C"/>
    <w:rsid w:val="00404EFC"/>
    <w:rsid w:val="00405297"/>
    <w:rsid w:val="00410337"/>
    <w:rsid w:val="0041040B"/>
    <w:rsid w:val="00410690"/>
    <w:rsid w:val="00411D18"/>
    <w:rsid w:val="00413438"/>
    <w:rsid w:val="00415051"/>
    <w:rsid w:val="00416A60"/>
    <w:rsid w:val="00416CBD"/>
    <w:rsid w:val="00417BC9"/>
    <w:rsid w:val="00417FB8"/>
    <w:rsid w:val="004207EA"/>
    <w:rsid w:val="00424632"/>
    <w:rsid w:val="00425610"/>
    <w:rsid w:val="00436345"/>
    <w:rsid w:val="00436E6C"/>
    <w:rsid w:val="00437EC0"/>
    <w:rsid w:val="004410FF"/>
    <w:rsid w:val="0044194B"/>
    <w:rsid w:val="0044749A"/>
    <w:rsid w:val="00447A58"/>
    <w:rsid w:val="0045108F"/>
    <w:rsid w:val="004520BC"/>
    <w:rsid w:val="00453013"/>
    <w:rsid w:val="00453018"/>
    <w:rsid w:val="00453E58"/>
    <w:rsid w:val="00454018"/>
    <w:rsid w:val="0045611C"/>
    <w:rsid w:val="00457AFA"/>
    <w:rsid w:val="00460E8C"/>
    <w:rsid w:val="00463070"/>
    <w:rsid w:val="0047023B"/>
    <w:rsid w:val="004703F1"/>
    <w:rsid w:val="0047498B"/>
    <w:rsid w:val="0047554E"/>
    <w:rsid w:val="004831F2"/>
    <w:rsid w:val="00483769"/>
    <w:rsid w:val="00487427"/>
    <w:rsid w:val="00494790"/>
    <w:rsid w:val="00494BA2"/>
    <w:rsid w:val="00495DB0"/>
    <w:rsid w:val="00497A49"/>
    <w:rsid w:val="004A071E"/>
    <w:rsid w:val="004A09AB"/>
    <w:rsid w:val="004A2B85"/>
    <w:rsid w:val="004A3374"/>
    <w:rsid w:val="004A7614"/>
    <w:rsid w:val="004B23C7"/>
    <w:rsid w:val="004B30B2"/>
    <w:rsid w:val="004B6A45"/>
    <w:rsid w:val="004C022D"/>
    <w:rsid w:val="004C3695"/>
    <w:rsid w:val="004C544F"/>
    <w:rsid w:val="004D011C"/>
    <w:rsid w:val="004D1431"/>
    <w:rsid w:val="004D19C5"/>
    <w:rsid w:val="004D2438"/>
    <w:rsid w:val="004D498A"/>
    <w:rsid w:val="004D4DD8"/>
    <w:rsid w:val="004D5EF2"/>
    <w:rsid w:val="004D7A67"/>
    <w:rsid w:val="004E07CD"/>
    <w:rsid w:val="004E0CEF"/>
    <w:rsid w:val="004E4978"/>
    <w:rsid w:val="004F0707"/>
    <w:rsid w:val="004F0826"/>
    <w:rsid w:val="004F7152"/>
    <w:rsid w:val="00501A9A"/>
    <w:rsid w:val="00501B12"/>
    <w:rsid w:val="00503291"/>
    <w:rsid w:val="00503C8E"/>
    <w:rsid w:val="00504AF2"/>
    <w:rsid w:val="005137D3"/>
    <w:rsid w:val="00514A16"/>
    <w:rsid w:val="005218B5"/>
    <w:rsid w:val="00521B49"/>
    <w:rsid w:val="00523276"/>
    <w:rsid w:val="0052421E"/>
    <w:rsid w:val="0052591C"/>
    <w:rsid w:val="00527970"/>
    <w:rsid w:val="00530DDD"/>
    <w:rsid w:val="00532F33"/>
    <w:rsid w:val="00536321"/>
    <w:rsid w:val="00540D00"/>
    <w:rsid w:val="00540ECB"/>
    <w:rsid w:val="00542FEC"/>
    <w:rsid w:val="00545C4B"/>
    <w:rsid w:val="00546ACC"/>
    <w:rsid w:val="00551E3C"/>
    <w:rsid w:val="00553DC4"/>
    <w:rsid w:val="005609BC"/>
    <w:rsid w:val="00565272"/>
    <w:rsid w:val="00566397"/>
    <w:rsid w:val="0056763F"/>
    <w:rsid w:val="0057253D"/>
    <w:rsid w:val="00572A64"/>
    <w:rsid w:val="00574B20"/>
    <w:rsid w:val="0057539C"/>
    <w:rsid w:val="00580D09"/>
    <w:rsid w:val="00582A51"/>
    <w:rsid w:val="00582C41"/>
    <w:rsid w:val="0059334E"/>
    <w:rsid w:val="00595022"/>
    <w:rsid w:val="00597795"/>
    <w:rsid w:val="005B1C8A"/>
    <w:rsid w:val="005B7E00"/>
    <w:rsid w:val="005C02C6"/>
    <w:rsid w:val="005C1DAE"/>
    <w:rsid w:val="005C5ABA"/>
    <w:rsid w:val="005D0359"/>
    <w:rsid w:val="005D21C7"/>
    <w:rsid w:val="005E24E2"/>
    <w:rsid w:val="005E2CE4"/>
    <w:rsid w:val="005F1B77"/>
    <w:rsid w:val="005F5A0A"/>
    <w:rsid w:val="005F66ED"/>
    <w:rsid w:val="00601235"/>
    <w:rsid w:val="006015CA"/>
    <w:rsid w:val="00602109"/>
    <w:rsid w:val="00603A26"/>
    <w:rsid w:val="00604D39"/>
    <w:rsid w:val="0060500F"/>
    <w:rsid w:val="0060645F"/>
    <w:rsid w:val="00622E25"/>
    <w:rsid w:val="00623406"/>
    <w:rsid w:val="00623F66"/>
    <w:rsid w:val="006311C6"/>
    <w:rsid w:val="006319CC"/>
    <w:rsid w:val="00632CEE"/>
    <w:rsid w:val="00633D8E"/>
    <w:rsid w:val="00637CD9"/>
    <w:rsid w:val="00641C70"/>
    <w:rsid w:val="00642955"/>
    <w:rsid w:val="0064620F"/>
    <w:rsid w:val="00646600"/>
    <w:rsid w:val="00647B51"/>
    <w:rsid w:val="00647EF6"/>
    <w:rsid w:val="0065031F"/>
    <w:rsid w:val="00651E9F"/>
    <w:rsid w:val="00655D3D"/>
    <w:rsid w:val="00662A3A"/>
    <w:rsid w:val="00671A77"/>
    <w:rsid w:val="00672746"/>
    <w:rsid w:val="00672827"/>
    <w:rsid w:val="00676C36"/>
    <w:rsid w:val="006805CA"/>
    <w:rsid w:val="00682256"/>
    <w:rsid w:val="006863DF"/>
    <w:rsid w:val="00687783"/>
    <w:rsid w:val="0069035F"/>
    <w:rsid w:val="00691407"/>
    <w:rsid w:val="00691EF4"/>
    <w:rsid w:val="00693F8D"/>
    <w:rsid w:val="00694DDF"/>
    <w:rsid w:val="00694E21"/>
    <w:rsid w:val="00695FC5"/>
    <w:rsid w:val="00697320"/>
    <w:rsid w:val="0069774D"/>
    <w:rsid w:val="00697A25"/>
    <w:rsid w:val="006A30FA"/>
    <w:rsid w:val="006A5DBB"/>
    <w:rsid w:val="006A799E"/>
    <w:rsid w:val="006B1E53"/>
    <w:rsid w:val="006B277D"/>
    <w:rsid w:val="006B35FC"/>
    <w:rsid w:val="006B42BC"/>
    <w:rsid w:val="006B4C83"/>
    <w:rsid w:val="006B5162"/>
    <w:rsid w:val="006C101A"/>
    <w:rsid w:val="006C1F85"/>
    <w:rsid w:val="006C47DE"/>
    <w:rsid w:val="006C79B3"/>
    <w:rsid w:val="006D208A"/>
    <w:rsid w:val="006D2C39"/>
    <w:rsid w:val="006D63D0"/>
    <w:rsid w:val="006D6850"/>
    <w:rsid w:val="006D744B"/>
    <w:rsid w:val="006E263C"/>
    <w:rsid w:val="006E2B77"/>
    <w:rsid w:val="006E4024"/>
    <w:rsid w:val="006E51DB"/>
    <w:rsid w:val="006E7D7D"/>
    <w:rsid w:val="006F0142"/>
    <w:rsid w:val="006F1EB8"/>
    <w:rsid w:val="006F2D5C"/>
    <w:rsid w:val="006F310E"/>
    <w:rsid w:val="00700B5A"/>
    <w:rsid w:val="00702CA7"/>
    <w:rsid w:val="00703A89"/>
    <w:rsid w:val="007063D3"/>
    <w:rsid w:val="00706452"/>
    <w:rsid w:val="00706CB6"/>
    <w:rsid w:val="00707395"/>
    <w:rsid w:val="00713FC1"/>
    <w:rsid w:val="00714B4A"/>
    <w:rsid w:val="00715242"/>
    <w:rsid w:val="00727068"/>
    <w:rsid w:val="00727ED9"/>
    <w:rsid w:val="007308E9"/>
    <w:rsid w:val="00730AFA"/>
    <w:rsid w:val="00731D9F"/>
    <w:rsid w:val="00734562"/>
    <w:rsid w:val="00735467"/>
    <w:rsid w:val="00735712"/>
    <w:rsid w:val="00753FEC"/>
    <w:rsid w:val="007543B6"/>
    <w:rsid w:val="00757CEF"/>
    <w:rsid w:val="00764B1F"/>
    <w:rsid w:val="00766725"/>
    <w:rsid w:val="0076697E"/>
    <w:rsid w:val="00770FA6"/>
    <w:rsid w:val="00771EBA"/>
    <w:rsid w:val="00774E74"/>
    <w:rsid w:val="00787749"/>
    <w:rsid w:val="007903F6"/>
    <w:rsid w:val="0079117E"/>
    <w:rsid w:val="00792541"/>
    <w:rsid w:val="00792A8B"/>
    <w:rsid w:val="00793E86"/>
    <w:rsid w:val="007968FF"/>
    <w:rsid w:val="00796DF6"/>
    <w:rsid w:val="00797537"/>
    <w:rsid w:val="007A1B67"/>
    <w:rsid w:val="007A283B"/>
    <w:rsid w:val="007A2C4B"/>
    <w:rsid w:val="007A2FB1"/>
    <w:rsid w:val="007A57FF"/>
    <w:rsid w:val="007A73FC"/>
    <w:rsid w:val="007B1442"/>
    <w:rsid w:val="007B18A5"/>
    <w:rsid w:val="007B4036"/>
    <w:rsid w:val="007B5235"/>
    <w:rsid w:val="007C0339"/>
    <w:rsid w:val="007C3EC1"/>
    <w:rsid w:val="007C49F9"/>
    <w:rsid w:val="007C5B78"/>
    <w:rsid w:val="007C6834"/>
    <w:rsid w:val="007C79A9"/>
    <w:rsid w:val="007D1A87"/>
    <w:rsid w:val="007D6B60"/>
    <w:rsid w:val="007E2D5E"/>
    <w:rsid w:val="007E3D7C"/>
    <w:rsid w:val="007E4EB9"/>
    <w:rsid w:val="007F3BB9"/>
    <w:rsid w:val="007F5C09"/>
    <w:rsid w:val="00811BA2"/>
    <w:rsid w:val="00815535"/>
    <w:rsid w:val="00817002"/>
    <w:rsid w:val="00822D67"/>
    <w:rsid w:val="0082659E"/>
    <w:rsid w:val="0082740B"/>
    <w:rsid w:val="0083593A"/>
    <w:rsid w:val="008401AA"/>
    <w:rsid w:val="00845977"/>
    <w:rsid w:val="00852AC1"/>
    <w:rsid w:val="0085321A"/>
    <w:rsid w:val="0085466A"/>
    <w:rsid w:val="008547A6"/>
    <w:rsid w:val="00857B6F"/>
    <w:rsid w:val="00857D94"/>
    <w:rsid w:val="0086064B"/>
    <w:rsid w:val="00865438"/>
    <w:rsid w:val="00866A0E"/>
    <w:rsid w:val="00870265"/>
    <w:rsid w:val="00870388"/>
    <w:rsid w:val="00870702"/>
    <w:rsid w:val="00872207"/>
    <w:rsid w:val="00872936"/>
    <w:rsid w:val="00877000"/>
    <w:rsid w:val="008807F2"/>
    <w:rsid w:val="00881662"/>
    <w:rsid w:val="0088543C"/>
    <w:rsid w:val="0089178A"/>
    <w:rsid w:val="00892C00"/>
    <w:rsid w:val="008951C9"/>
    <w:rsid w:val="00897598"/>
    <w:rsid w:val="008A1E87"/>
    <w:rsid w:val="008A2705"/>
    <w:rsid w:val="008A2C59"/>
    <w:rsid w:val="008A50B4"/>
    <w:rsid w:val="008A531A"/>
    <w:rsid w:val="008B53C2"/>
    <w:rsid w:val="008B55AC"/>
    <w:rsid w:val="008C1C6C"/>
    <w:rsid w:val="008C3859"/>
    <w:rsid w:val="008C3A93"/>
    <w:rsid w:val="008C6463"/>
    <w:rsid w:val="008D092D"/>
    <w:rsid w:val="008D38C9"/>
    <w:rsid w:val="008D3C22"/>
    <w:rsid w:val="008D69A1"/>
    <w:rsid w:val="008D790F"/>
    <w:rsid w:val="008E258D"/>
    <w:rsid w:val="008E54EB"/>
    <w:rsid w:val="008E76F8"/>
    <w:rsid w:val="008E7DF3"/>
    <w:rsid w:val="008F07A2"/>
    <w:rsid w:val="008F0F8B"/>
    <w:rsid w:val="008F362C"/>
    <w:rsid w:val="008F4D0B"/>
    <w:rsid w:val="00900F87"/>
    <w:rsid w:val="00901502"/>
    <w:rsid w:val="00901555"/>
    <w:rsid w:val="00902009"/>
    <w:rsid w:val="009033CB"/>
    <w:rsid w:val="0090566D"/>
    <w:rsid w:val="00905B89"/>
    <w:rsid w:val="00910F7D"/>
    <w:rsid w:val="00911829"/>
    <w:rsid w:val="00911915"/>
    <w:rsid w:val="00912CB4"/>
    <w:rsid w:val="00914822"/>
    <w:rsid w:val="0091487B"/>
    <w:rsid w:val="00922CF6"/>
    <w:rsid w:val="009266AA"/>
    <w:rsid w:val="00927336"/>
    <w:rsid w:val="009345B1"/>
    <w:rsid w:val="00935485"/>
    <w:rsid w:val="009364EE"/>
    <w:rsid w:val="00940362"/>
    <w:rsid w:val="00940A78"/>
    <w:rsid w:val="00944495"/>
    <w:rsid w:val="009444AE"/>
    <w:rsid w:val="00945B79"/>
    <w:rsid w:val="00947B37"/>
    <w:rsid w:val="00950060"/>
    <w:rsid w:val="00950A76"/>
    <w:rsid w:val="00953B81"/>
    <w:rsid w:val="00954342"/>
    <w:rsid w:val="009556FB"/>
    <w:rsid w:val="00955891"/>
    <w:rsid w:val="00955C09"/>
    <w:rsid w:val="00960955"/>
    <w:rsid w:val="00964712"/>
    <w:rsid w:val="00970A7E"/>
    <w:rsid w:val="00972E93"/>
    <w:rsid w:val="009755D0"/>
    <w:rsid w:val="00976A02"/>
    <w:rsid w:val="0098083E"/>
    <w:rsid w:val="009817FD"/>
    <w:rsid w:val="0098490D"/>
    <w:rsid w:val="00990595"/>
    <w:rsid w:val="00990EBD"/>
    <w:rsid w:val="009918DB"/>
    <w:rsid w:val="00993370"/>
    <w:rsid w:val="00994C68"/>
    <w:rsid w:val="009A086D"/>
    <w:rsid w:val="009A2E50"/>
    <w:rsid w:val="009A2EA3"/>
    <w:rsid w:val="009A689E"/>
    <w:rsid w:val="009B05F8"/>
    <w:rsid w:val="009B3780"/>
    <w:rsid w:val="009B58A0"/>
    <w:rsid w:val="009B6DFA"/>
    <w:rsid w:val="009C3088"/>
    <w:rsid w:val="009C3141"/>
    <w:rsid w:val="009C32BE"/>
    <w:rsid w:val="009C37CE"/>
    <w:rsid w:val="009C429D"/>
    <w:rsid w:val="009C71E9"/>
    <w:rsid w:val="009D48B3"/>
    <w:rsid w:val="009D4B54"/>
    <w:rsid w:val="009D4D89"/>
    <w:rsid w:val="009D5502"/>
    <w:rsid w:val="009E1C4F"/>
    <w:rsid w:val="009E2AB2"/>
    <w:rsid w:val="009E4136"/>
    <w:rsid w:val="009F05C9"/>
    <w:rsid w:val="009F3343"/>
    <w:rsid w:val="009F33C1"/>
    <w:rsid w:val="009F4777"/>
    <w:rsid w:val="009F64BF"/>
    <w:rsid w:val="009F7E95"/>
    <w:rsid w:val="00A03BCE"/>
    <w:rsid w:val="00A0508E"/>
    <w:rsid w:val="00A05DE8"/>
    <w:rsid w:val="00A124F9"/>
    <w:rsid w:val="00A131B2"/>
    <w:rsid w:val="00A13C73"/>
    <w:rsid w:val="00A247C8"/>
    <w:rsid w:val="00A3455B"/>
    <w:rsid w:val="00A34BD3"/>
    <w:rsid w:val="00A3793B"/>
    <w:rsid w:val="00A455C7"/>
    <w:rsid w:val="00A46133"/>
    <w:rsid w:val="00A50E7B"/>
    <w:rsid w:val="00A53B89"/>
    <w:rsid w:val="00A61A2B"/>
    <w:rsid w:val="00A61FB1"/>
    <w:rsid w:val="00A62BDD"/>
    <w:rsid w:val="00A66768"/>
    <w:rsid w:val="00A7145B"/>
    <w:rsid w:val="00A71A57"/>
    <w:rsid w:val="00A7383E"/>
    <w:rsid w:val="00A7517C"/>
    <w:rsid w:val="00A760BC"/>
    <w:rsid w:val="00A7644E"/>
    <w:rsid w:val="00A81E44"/>
    <w:rsid w:val="00A836B2"/>
    <w:rsid w:val="00A85760"/>
    <w:rsid w:val="00A863CA"/>
    <w:rsid w:val="00A92F8B"/>
    <w:rsid w:val="00A95F31"/>
    <w:rsid w:val="00A96A00"/>
    <w:rsid w:val="00AA1A7C"/>
    <w:rsid w:val="00AA2EDE"/>
    <w:rsid w:val="00AA44B8"/>
    <w:rsid w:val="00AA4A14"/>
    <w:rsid w:val="00AA4A1A"/>
    <w:rsid w:val="00AA5C2C"/>
    <w:rsid w:val="00AB0C37"/>
    <w:rsid w:val="00AB2A14"/>
    <w:rsid w:val="00AB4FA8"/>
    <w:rsid w:val="00AB5E1B"/>
    <w:rsid w:val="00AC0627"/>
    <w:rsid w:val="00AC2539"/>
    <w:rsid w:val="00AC2AE2"/>
    <w:rsid w:val="00AC4A52"/>
    <w:rsid w:val="00AD09FC"/>
    <w:rsid w:val="00AD1363"/>
    <w:rsid w:val="00AD4496"/>
    <w:rsid w:val="00AD5C10"/>
    <w:rsid w:val="00AE0984"/>
    <w:rsid w:val="00AE1380"/>
    <w:rsid w:val="00AE13F7"/>
    <w:rsid w:val="00AF1AAF"/>
    <w:rsid w:val="00AF1B58"/>
    <w:rsid w:val="00AF2EE1"/>
    <w:rsid w:val="00AF478A"/>
    <w:rsid w:val="00AF6163"/>
    <w:rsid w:val="00AF7830"/>
    <w:rsid w:val="00B02DFC"/>
    <w:rsid w:val="00B06EAB"/>
    <w:rsid w:val="00B10A5A"/>
    <w:rsid w:val="00B12F5D"/>
    <w:rsid w:val="00B145AB"/>
    <w:rsid w:val="00B146D4"/>
    <w:rsid w:val="00B163BE"/>
    <w:rsid w:val="00B2125B"/>
    <w:rsid w:val="00B22E1F"/>
    <w:rsid w:val="00B2586D"/>
    <w:rsid w:val="00B2636F"/>
    <w:rsid w:val="00B267AA"/>
    <w:rsid w:val="00B308A9"/>
    <w:rsid w:val="00B37D66"/>
    <w:rsid w:val="00B422EA"/>
    <w:rsid w:val="00B45844"/>
    <w:rsid w:val="00B517FF"/>
    <w:rsid w:val="00B53870"/>
    <w:rsid w:val="00B54FBB"/>
    <w:rsid w:val="00B57D12"/>
    <w:rsid w:val="00B605EC"/>
    <w:rsid w:val="00B60DE7"/>
    <w:rsid w:val="00B61169"/>
    <w:rsid w:val="00B61547"/>
    <w:rsid w:val="00B70152"/>
    <w:rsid w:val="00B72022"/>
    <w:rsid w:val="00B7700A"/>
    <w:rsid w:val="00B771E3"/>
    <w:rsid w:val="00B8295E"/>
    <w:rsid w:val="00B83569"/>
    <w:rsid w:val="00B8669C"/>
    <w:rsid w:val="00B87078"/>
    <w:rsid w:val="00B87E2D"/>
    <w:rsid w:val="00B918AA"/>
    <w:rsid w:val="00B92098"/>
    <w:rsid w:val="00B92879"/>
    <w:rsid w:val="00B92AB4"/>
    <w:rsid w:val="00B93268"/>
    <w:rsid w:val="00B95276"/>
    <w:rsid w:val="00BA1F8F"/>
    <w:rsid w:val="00BA4797"/>
    <w:rsid w:val="00BA67AD"/>
    <w:rsid w:val="00BA6A44"/>
    <w:rsid w:val="00BB0D48"/>
    <w:rsid w:val="00BB4F4D"/>
    <w:rsid w:val="00BB51CC"/>
    <w:rsid w:val="00BB5AB9"/>
    <w:rsid w:val="00BC19F4"/>
    <w:rsid w:val="00BC23C3"/>
    <w:rsid w:val="00BC24AA"/>
    <w:rsid w:val="00BC4E74"/>
    <w:rsid w:val="00BC62D9"/>
    <w:rsid w:val="00BC6A58"/>
    <w:rsid w:val="00BC6E10"/>
    <w:rsid w:val="00BC6EA0"/>
    <w:rsid w:val="00BC7C66"/>
    <w:rsid w:val="00BD023A"/>
    <w:rsid w:val="00BD0B82"/>
    <w:rsid w:val="00BD1606"/>
    <w:rsid w:val="00BD4133"/>
    <w:rsid w:val="00BE3664"/>
    <w:rsid w:val="00BE425A"/>
    <w:rsid w:val="00BE6A10"/>
    <w:rsid w:val="00BF21D7"/>
    <w:rsid w:val="00BF75E6"/>
    <w:rsid w:val="00C10188"/>
    <w:rsid w:val="00C1393C"/>
    <w:rsid w:val="00C15D45"/>
    <w:rsid w:val="00C16B36"/>
    <w:rsid w:val="00C202E0"/>
    <w:rsid w:val="00C21287"/>
    <w:rsid w:val="00C22ACD"/>
    <w:rsid w:val="00C302C6"/>
    <w:rsid w:val="00C37FC3"/>
    <w:rsid w:val="00C44695"/>
    <w:rsid w:val="00C51822"/>
    <w:rsid w:val="00C52F14"/>
    <w:rsid w:val="00C54AEF"/>
    <w:rsid w:val="00C5602C"/>
    <w:rsid w:val="00C56854"/>
    <w:rsid w:val="00C629C9"/>
    <w:rsid w:val="00C64F5D"/>
    <w:rsid w:val="00C65705"/>
    <w:rsid w:val="00C674E1"/>
    <w:rsid w:val="00C7386C"/>
    <w:rsid w:val="00C75B07"/>
    <w:rsid w:val="00C77923"/>
    <w:rsid w:val="00C81A98"/>
    <w:rsid w:val="00C821E7"/>
    <w:rsid w:val="00C903AF"/>
    <w:rsid w:val="00C9301F"/>
    <w:rsid w:val="00CA2316"/>
    <w:rsid w:val="00CA2A72"/>
    <w:rsid w:val="00CA4032"/>
    <w:rsid w:val="00CA52EE"/>
    <w:rsid w:val="00CB3F19"/>
    <w:rsid w:val="00CB45AF"/>
    <w:rsid w:val="00CB55AD"/>
    <w:rsid w:val="00CC07E4"/>
    <w:rsid w:val="00CC3C32"/>
    <w:rsid w:val="00CC5729"/>
    <w:rsid w:val="00CC6500"/>
    <w:rsid w:val="00CD7C0D"/>
    <w:rsid w:val="00CE0BBD"/>
    <w:rsid w:val="00CE3DAB"/>
    <w:rsid w:val="00CE7620"/>
    <w:rsid w:val="00CE78EC"/>
    <w:rsid w:val="00CF01E8"/>
    <w:rsid w:val="00CF25E6"/>
    <w:rsid w:val="00CF2CEE"/>
    <w:rsid w:val="00CF48A0"/>
    <w:rsid w:val="00CF54B2"/>
    <w:rsid w:val="00D01357"/>
    <w:rsid w:val="00D04B43"/>
    <w:rsid w:val="00D050DA"/>
    <w:rsid w:val="00D0615A"/>
    <w:rsid w:val="00D12BAC"/>
    <w:rsid w:val="00D12BD4"/>
    <w:rsid w:val="00D17137"/>
    <w:rsid w:val="00D1754A"/>
    <w:rsid w:val="00D17ACB"/>
    <w:rsid w:val="00D20E73"/>
    <w:rsid w:val="00D21F8F"/>
    <w:rsid w:val="00D22D96"/>
    <w:rsid w:val="00D24EF6"/>
    <w:rsid w:val="00D2620D"/>
    <w:rsid w:val="00D2632E"/>
    <w:rsid w:val="00D27D4B"/>
    <w:rsid w:val="00D308D2"/>
    <w:rsid w:val="00D31C17"/>
    <w:rsid w:val="00D32743"/>
    <w:rsid w:val="00D3283F"/>
    <w:rsid w:val="00D32BA3"/>
    <w:rsid w:val="00D35B17"/>
    <w:rsid w:val="00D41D72"/>
    <w:rsid w:val="00D42AA7"/>
    <w:rsid w:val="00D44FEC"/>
    <w:rsid w:val="00D462A2"/>
    <w:rsid w:val="00D46DD3"/>
    <w:rsid w:val="00D51999"/>
    <w:rsid w:val="00D5393B"/>
    <w:rsid w:val="00D56BC3"/>
    <w:rsid w:val="00D575CC"/>
    <w:rsid w:val="00D61E55"/>
    <w:rsid w:val="00D62B87"/>
    <w:rsid w:val="00D63CB5"/>
    <w:rsid w:val="00D64B58"/>
    <w:rsid w:val="00D65405"/>
    <w:rsid w:val="00D70BC4"/>
    <w:rsid w:val="00D72B32"/>
    <w:rsid w:val="00D77C50"/>
    <w:rsid w:val="00D927EB"/>
    <w:rsid w:val="00D930DB"/>
    <w:rsid w:val="00D93893"/>
    <w:rsid w:val="00D93B49"/>
    <w:rsid w:val="00D959EF"/>
    <w:rsid w:val="00DA25A0"/>
    <w:rsid w:val="00DA33FE"/>
    <w:rsid w:val="00DB0E2B"/>
    <w:rsid w:val="00DB2367"/>
    <w:rsid w:val="00DB39A8"/>
    <w:rsid w:val="00DB64F7"/>
    <w:rsid w:val="00DB7CAE"/>
    <w:rsid w:val="00DC0567"/>
    <w:rsid w:val="00DC1A46"/>
    <w:rsid w:val="00DC4B05"/>
    <w:rsid w:val="00DD1631"/>
    <w:rsid w:val="00DD2EEC"/>
    <w:rsid w:val="00DE05F4"/>
    <w:rsid w:val="00DE1E27"/>
    <w:rsid w:val="00DE7F3B"/>
    <w:rsid w:val="00DF020A"/>
    <w:rsid w:val="00DF06BF"/>
    <w:rsid w:val="00DF1B18"/>
    <w:rsid w:val="00DF7D62"/>
    <w:rsid w:val="00DF7E5F"/>
    <w:rsid w:val="00E00A21"/>
    <w:rsid w:val="00E1016B"/>
    <w:rsid w:val="00E11712"/>
    <w:rsid w:val="00E1364E"/>
    <w:rsid w:val="00E17A10"/>
    <w:rsid w:val="00E23C6F"/>
    <w:rsid w:val="00E241A9"/>
    <w:rsid w:val="00E244D6"/>
    <w:rsid w:val="00E30F5B"/>
    <w:rsid w:val="00E31295"/>
    <w:rsid w:val="00E32473"/>
    <w:rsid w:val="00E3750F"/>
    <w:rsid w:val="00E37E42"/>
    <w:rsid w:val="00E404AF"/>
    <w:rsid w:val="00E42A33"/>
    <w:rsid w:val="00E445B5"/>
    <w:rsid w:val="00E45284"/>
    <w:rsid w:val="00E555D2"/>
    <w:rsid w:val="00E574B7"/>
    <w:rsid w:val="00E60772"/>
    <w:rsid w:val="00E61776"/>
    <w:rsid w:val="00E657B1"/>
    <w:rsid w:val="00E658D3"/>
    <w:rsid w:val="00E67677"/>
    <w:rsid w:val="00E67F98"/>
    <w:rsid w:val="00E703FA"/>
    <w:rsid w:val="00E712F7"/>
    <w:rsid w:val="00E72B0F"/>
    <w:rsid w:val="00E74EE2"/>
    <w:rsid w:val="00E81F10"/>
    <w:rsid w:val="00E83A80"/>
    <w:rsid w:val="00E85762"/>
    <w:rsid w:val="00E91455"/>
    <w:rsid w:val="00EA0A8E"/>
    <w:rsid w:val="00EA10DC"/>
    <w:rsid w:val="00EA1B5B"/>
    <w:rsid w:val="00EA2D34"/>
    <w:rsid w:val="00EC0815"/>
    <w:rsid w:val="00EC1FD0"/>
    <w:rsid w:val="00EC218F"/>
    <w:rsid w:val="00EC30FF"/>
    <w:rsid w:val="00EC5472"/>
    <w:rsid w:val="00EC5CA7"/>
    <w:rsid w:val="00EC61A1"/>
    <w:rsid w:val="00ED23DF"/>
    <w:rsid w:val="00ED3442"/>
    <w:rsid w:val="00ED378F"/>
    <w:rsid w:val="00ED6286"/>
    <w:rsid w:val="00ED739B"/>
    <w:rsid w:val="00ED759A"/>
    <w:rsid w:val="00EE12C9"/>
    <w:rsid w:val="00EE2C8E"/>
    <w:rsid w:val="00EE336C"/>
    <w:rsid w:val="00EE3B45"/>
    <w:rsid w:val="00EE3EF8"/>
    <w:rsid w:val="00EE4F8B"/>
    <w:rsid w:val="00EE557D"/>
    <w:rsid w:val="00EE5CDF"/>
    <w:rsid w:val="00EE6162"/>
    <w:rsid w:val="00EE6A74"/>
    <w:rsid w:val="00EE72E5"/>
    <w:rsid w:val="00EF587C"/>
    <w:rsid w:val="00EF70FA"/>
    <w:rsid w:val="00F05A2F"/>
    <w:rsid w:val="00F127EF"/>
    <w:rsid w:val="00F17696"/>
    <w:rsid w:val="00F2020B"/>
    <w:rsid w:val="00F23C8F"/>
    <w:rsid w:val="00F3076C"/>
    <w:rsid w:val="00F3256C"/>
    <w:rsid w:val="00F327B4"/>
    <w:rsid w:val="00F34DE9"/>
    <w:rsid w:val="00F364F2"/>
    <w:rsid w:val="00F43E8E"/>
    <w:rsid w:val="00F4405D"/>
    <w:rsid w:val="00F45AE9"/>
    <w:rsid w:val="00F53AD7"/>
    <w:rsid w:val="00F54D9E"/>
    <w:rsid w:val="00F56B3B"/>
    <w:rsid w:val="00F60273"/>
    <w:rsid w:val="00F63659"/>
    <w:rsid w:val="00F63C58"/>
    <w:rsid w:val="00F6545E"/>
    <w:rsid w:val="00F65F07"/>
    <w:rsid w:val="00F666A5"/>
    <w:rsid w:val="00F71278"/>
    <w:rsid w:val="00F73726"/>
    <w:rsid w:val="00F739E2"/>
    <w:rsid w:val="00F801B7"/>
    <w:rsid w:val="00F849BF"/>
    <w:rsid w:val="00F8772F"/>
    <w:rsid w:val="00F942DB"/>
    <w:rsid w:val="00F96B30"/>
    <w:rsid w:val="00FA01E3"/>
    <w:rsid w:val="00FA17D2"/>
    <w:rsid w:val="00FA1F9A"/>
    <w:rsid w:val="00FA208D"/>
    <w:rsid w:val="00FA2859"/>
    <w:rsid w:val="00FA3D43"/>
    <w:rsid w:val="00FA60B8"/>
    <w:rsid w:val="00FB1B45"/>
    <w:rsid w:val="00FB209C"/>
    <w:rsid w:val="00FB3E92"/>
    <w:rsid w:val="00FB7542"/>
    <w:rsid w:val="00FC0B3A"/>
    <w:rsid w:val="00FC3902"/>
    <w:rsid w:val="00FD08D0"/>
    <w:rsid w:val="00FD2E6D"/>
    <w:rsid w:val="00FD4451"/>
    <w:rsid w:val="00FE047E"/>
    <w:rsid w:val="00FE1C72"/>
    <w:rsid w:val="00FE279D"/>
    <w:rsid w:val="00FE374B"/>
    <w:rsid w:val="00FE5C8E"/>
    <w:rsid w:val="00FE64DE"/>
    <w:rsid w:val="00FF0469"/>
    <w:rsid w:val="00FF1F0D"/>
    <w:rsid w:val="00FF430D"/>
    <w:rsid w:val="00FF61DB"/>
    <w:rsid w:val="00FF6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2F0A"/>
  <w15:chartTrackingRefBased/>
  <w15:docId w15:val="{42515268-854B-464E-88F5-F165D227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318"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2B0F"/>
    <w:pPr>
      <w:spacing w:line="254" w:lineRule="auto"/>
      <w:ind w:left="0" w:firstLine="0"/>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next w:val="Geenafstand"/>
    <w:autoRedefine/>
    <w:uiPriority w:val="34"/>
    <w:qFormat/>
    <w:rsid w:val="00A71A57"/>
    <w:pPr>
      <w:spacing w:before="100" w:beforeAutospacing="1" w:after="100" w:afterAutospacing="1"/>
    </w:pPr>
    <w:rPr>
      <w:rFonts w:eastAsia="Calibri" w:cs="Times New Roman"/>
      <w:szCs w:val="24"/>
      <w:lang w:eastAsia="nl-NL"/>
    </w:rPr>
  </w:style>
  <w:style w:type="paragraph" w:styleId="Geenafstand">
    <w:name w:val="No Spacing"/>
    <w:uiPriority w:val="1"/>
    <w:qFormat/>
    <w:rsid w:val="00A71A57"/>
    <w:rPr>
      <w:rFonts w:ascii="Arial" w:hAnsi="Arial"/>
    </w:rPr>
  </w:style>
  <w:style w:type="paragraph" w:customStyle="1" w:styleId="Kop1zondernr">
    <w:name w:val="Kop 1 zonder nr"/>
    <w:basedOn w:val="Standaard"/>
    <w:next w:val="Standaard"/>
    <w:uiPriority w:val="1"/>
    <w:qFormat/>
    <w:rsid w:val="00E72B0F"/>
    <w:pPr>
      <w:keepNext/>
      <w:keepLines/>
      <w:pageBreakBefore/>
      <w:spacing w:before="320" w:after="240" w:line="240" w:lineRule="auto"/>
      <w:outlineLvl w:val="0"/>
    </w:pPr>
    <w:rPr>
      <w:rFonts w:eastAsiaTheme="majorEastAsia" w:cstheme="majorBidi"/>
      <w:b/>
      <w:bCs/>
      <w:color w:val="7F7F7F" w:themeColor="text1" w:themeTint="80"/>
      <w:sz w:val="40"/>
      <w:szCs w:val="34"/>
    </w:rPr>
  </w:style>
  <w:style w:type="character" w:styleId="Verwijzingopmerking">
    <w:name w:val="annotation reference"/>
    <w:basedOn w:val="Standaardalinea-lettertype"/>
    <w:uiPriority w:val="99"/>
    <w:semiHidden/>
    <w:unhideWhenUsed/>
    <w:rsid w:val="00E72B0F"/>
    <w:rPr>
      <w:sz w:val="16"/>
      <w:szCs w:val="16"/>
    </w:rPr>
  </w:style>
  <w:style w:type="paragraph" w:styleId="Tekstopmerking">
    <w:name w:val="annotation text"/>
    <w:basedOn w:val="Standaard"/>
    <w:link w:val="TekstopmerkingChar"/>
    <w:uiPriority w:val="99"/>
    <w:unhideWhenUsed/>
    <w:rsid w:val="00E72B0F"/>
    <w:pPr>
      <w:spacing w:after="160"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E72B0F"/>
    <w:rPr>
      <w:sz w:val="20"/>
      <w:szCs w:val="20"/>
    </w:rPr>
  </w:style>
  <w:style w:type="table" w:customStyle="1" w:styleId="Rastertabel5donker-Accent21">
    <w:name w:val="Rastertabel 5 donker - Accent 21"/>
    <w:basedOn w:val="Standaardtabel"/>
    <w:uiPriority w:val="50"/>
    <w:rsid w:val="00E72B0F"/>
    <w:pPr>
      <w:ind w:left="0" w:firstLin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ntekst">
    <w:name w:val="Balloon Text"/>
    <w:basedOn w:val="Standaard"/>
    <w:link w:val="BallontekstChar"/>
    <w:uiPriority w:val="99"/>
    <w:semiHidden/>
    <w:unhideWhenUsed/>
    <w:rsid w:val="00E72B0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72B0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3649D"/>
    <w:pPr>
      <w:spacing w:after="0"/>
    </w:pPr>
    <w:rPr>
      <w:rFonts w:ascii="Arial" w:hAnsi="Arial"/>
      <w:b/>
      <w:bCs/>
    </w:rPr>
  </w:style>
  <w:style w:type="character" w:customStyle="1" w:styleId="OnderwerpvanopmerkingChar">
    <w:name w:val="Onderwerp van opmerking Char"/>
    <w:basedOn w:val="TekstopmerkingChar"/>
    <w:link w:val="Onderwerpvanopmerking"/>
    <w:uiPriority w:val="99"/>
    <w:semiHidden/>
    <w:rsid w:val="002364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685">
      <w:bodyDiv w:val="1"/>
      <w:marLeft w:val="0"/>
      <w:marRight w:val="0"/>
      <w:marTop w:val="0"/>
      <w:marBottom w:val="0"/>
      <w:divBdr>
        <w:top w:val="none" w:sz="0" w:space="0" w:color="auto"/>
        <w:left w:val="none" w:sz="0" w:space="0" w:color="auto"/>
        <w:bottom w:val="none" w:sz="0" w:space="0" w:color="auto"/>
        <w:right w:val="none" w:sz="0" w:space="0" w:color="auto"/>
      </w:divBdr>
    </w:div>
    <w:div w:id="601840396">
      <w:bodyDiv w:val="1"/>
      <w:marLeft w:val="0"/>
      <w:marRight w:val="0"/>
      <w:marTop w:val="0"/>
      <w:marBottom w:val="0"/>
      <w:divBdr>
        <w:top w:val="none" w:sz="0" w:space="0" w:color="auto"/>
        <w:left w:val="none" w:sz="0" w:space="0" w:color="auto"/>
        <w:bottom w:val="none" w:sz="0" w:space="0" w:color="auto"/>
        <w:right w:val="none" w:sz="0" w:space="0" w:color="auto"/>
      </w:divBdr>
    </w:div>
    <w:div w:id="691541502">
      <w:bodyDiv w:val="1"/>
      <w:marLeft w:val="0"/>
      <w:marRight w:val="0"/>
      <w:marTop w:val="0"/>
      <w:marBottom w:val="0"/>
      <w:divBdr>
        <w:top w:val="none" w:sz="0" w:space="0" w:color="auto"/>
        <w:left w:val="none" w:sz="0" w:space="0" w:color="auto"/>
        <w:bottom w:val="none" w:sz="0" w:space="0" w:color="auto"/>
        <w:right w:val="none" w:sz="0" w:space="0" w:color="auto"/>
      </w:divBdr>
    </w:div>
    <w:div w:id="1184590851">
      <w:bodyDiv w:val="1"/>
      <w:marLeft w:val="0"/>
      <w:marRight w:val="0"/>
      <w:marTop w:val="0"/>
      <w:marBottom w:val="0"/>
      <w:divBdr>
        <w:top w:val="none" w:sz="0" w:space="0" w:color="auto"/>
        <w:left w:val="none" w:sz="0" w:space="0" w:color="auto"/>
        <w:bottom w:val="none" w:sz="0" w:space="0" w:color="auto"/>
        <w:right w:val="none" w:sz="0" w:space="0" w:color="auto"/>
      </w:divBdr>
    </w:div>
    <w:div w:id="1292400121">
      <w:bodyDiv w:val="1"/>
      <w:marLeft w:val="0"/>
      <w:marRight w:val="0"/>
      <w:marTop w:val="0"/>
      <w:marBottom w:val="0"/>
      <w:divBdr>
        <w:top w:val="none" w:sz="0" w:space="0" w:color="auto"/>
        <w:left w:val="none" w:sz="0" w:space="0" w:color="auto"/>
        <w:bottom w:val="none" w:sz="0" w:space="0" w:color="auto"/>
        <w:right w:val="none" w:sz="0" w:space="0" w:color="auto"/>
      </w:divBdr>
    </w:div>
    <w:div w:id="17662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AF3E-1944-4E02-8422-48275A44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Dronten</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Joostrum</dc:creator>
  <cp:keywords/>
  <dc:description/>
  <cp:lastModifiedBy>Joostrum</cp:lastModifiedBy>
  <cp:revision>2</cp:revision>
  <dcterms:created xsi:type="dcterms:W3CDTF">2021-04-30T13:38:00Z</dcterms:created>
  <dcterms:modified xsi:type="dcterms:W3CDTF">2021-04-30T13:38:00Z</dcterms:modified>
</cp:coreProperties>
</file>